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April 4, 2026</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 to 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000-29823</w:t>
      </w:r>
    </w:p>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SILICON LABORATORIES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35" w:type="dxa"/>
        <w:jc w:val="left"/>
        <w:tblInd w:w="0" w:type="dxa"/>
        <w:tblLayout w:type="fixed"/>
        <w:tblCellMar>
          <w:top w:w="28" w:type="dxa"/>
          <w:left w:w="28" w:type="dxa"/>
          <w:bottom w:w="28" w:type="dxa"/>
          <w:right w:w="28" w:type="dxa"/>
        </w:tblCellMar>
      </w:tblPr>
      <w:tblGrid>
        <w:gridCol w:w="1560"/>
        <w:gridCol w:w="1374"/>
        <w:gridCol w:w="1386"/>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74-2793174</w:t>
            </w:r>
          </w:p>
        </w:tc>
      </w:tr>
      <w:tr>
        <w:trPr/>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4019" w:type="dxa"/>
        <w:jc w:val="left"/>
        <w:tblInd w:w="0" w:type="dxa"/>
        <w:tblLayout w:type="fixed"/>
        <w:tblCellMar>
          <w:top w:w="28" w:type="dxa"/>
          <w:left w:w="28" w:type="dxa"/>
          <w:bottom w:w="28" w:type="dxa"/>
          <w:right w:w="28" w:type="dxa"/>
        </w:tblCellMar>
      </w:tblPr>
      <w:tblGrid>
        <w:gridCol w:w="1117"/>
        <w:gridCol w:w="982"/>
        <w:gridCol w:w="991"/>
        <w:gridCol w:w="272"/>
        <w:gridCol w:w="272"/>
        <w:gridCol w:w="385"/>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400 West Cesar Chavez, Austin, Texas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78701</w:t>
            </w:r>
          </w:p>
        </w:tc>
      </w:tr>
      <w:tr>
        <w:trPr/>
        <w:tc>
          <w:tcPr>
            <w:tcW w:w="3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(512) 416-8500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33" w:type="dxa"/>
        <w:jc w:val="left"/>
        <w:tblInd w:w="0" w:type="dxa"/>
        <w:tblLayout w:type="fixed"/>
        <w:tblCellMar>
          <w:top w:w="28" w:type="dxa"/>
          <w:left w:w="28" w:type="dxa"/>
          <w:bottom w:w="28" w:type="dxa"/>
          <w:right w:w="28" w:type="dxa"/>
        </w:tblCellMar>
      </w:tblPr>
      <w:tblGrid>
        <w:gridCol w:w="938"/>
        <w:gridCol w:w="826"/>
        <w:gridCol w:w="831"/>
        <w:gridCol w:w="109"/>
        <w:gridCol w:w="109"/>
        <w:gridCol w:w="109"/>
        <w:gridCol w:w="519"/>
        <w:gridCol w:w="519"/>
        <w:gridCol w:w="521"/>
        <w:gridCol w:w="109"/>
        <w:gridCol w:w="109"/>
        <w:gridCol w:w="109"/>
        <w:gridCol w:w="769"/>
        <w:gridCol w:w="769"/>
        <w:gridCol w:w="1087"/>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Name of each exchange</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on which registered</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ind w:left="0" w:right="0" w:firstLine="288"/>
        <w:jc w:val="right"/>
        <w:rPr/>
      </w:pP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283"/>
        <w:ind w:left="0" w:right="0" w:firstLine="288"/>
        <w:jc w:val="right"/>
        <w:rPr/>
      </w:pP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581" w:type="dxa"/>
        <w:jc w:val="left"/>
        <w:tblInd w:w="0" w:type="dxa"/>
        <w:tblLayout w:type="fixed"/>
        <w:tblCellMar>
          <w:top w:w="28" w:type="dxa"/>
          <w:left w:w="28" w:type="dxa"/>
          <w:bottom w:w="28" w:type="dxa"/>
          <w:right w:w="28" w:type="dxa"/>
        </w:tblCellMar>
      </w:tblPr>
      <w:tblGrid>
        <w:gridCol w:w="695"/>
        <w:gridCol w:w="611"/>
        <w:gridCol w:w="613"/>
        <w:gridCol w:w="479"/>
        <w:gridCol w:w="479"/>
        <w:gridCol w:w="481"/>
        <w:gridCol w:w="584"/>
        <w:gridCol w:w="584"/>
        <w:gridCol w:w="586"/>
        <w:gridCol w:w="734"/>
        <w:gridCol w:w="734"/>
        <w:gridCol w:w="737"/>
        <w:gridCol w:w="662"/>
        <w:gridCol w:w="662"/>
        <w:gridCol w:w="94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Large accelerated filer </w:t>
            </w: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Accelerated filer </w:t>
            </w:r>
            <w:r>
              <w:rPr>
                <w:rFonts w:ascii="Wingdings;sans-serif" w:hAnsi="Wingdings;sans-serif"/>
                <w:b w:val="false"/>
                <w:color w:val="000000"/>
                <w:sz w:val="17"/>
              </w:rPr>
              <w:t>o</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Non-accelerated filer </w:t>
            </w:r>
            <w:r>
              <w:rPr>
                <w:rFonts w:ascii="Wingdings;sans-serif" w:hAnsi="Wingdings;sans-serif"/>
                <w:b w:val="false"/>
                <w:color w:val="000000"/>
                <w:sz w:val="17"/>
              </w:rPr>
              <w:t>o</w:t>
            </w:r>
          </w:p>
        </w:tc>
        <w:tc>
          <w:tcPr>
            <w:tcW w:w="2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Smaller reporting company </w:t>
            </w:r>
            <w:r>
              <w:rPr>
                <w:rFonts w:ascii="Wingdings;sans-serif" w:hAnsi="Wingdings;sans-serif"/>
                <w:b w:val="false"/>
                <w:color w:val="000000"/>
                <w:sz w:val="17"/>
              </w:rPr>
              <w:t>o</w:t>
            </w:r>
          </w:p>
        </w:tc>
        <w:tc>
          <w:tcPr>
            <w:tcW w:w="226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7"/>
              </w:rPr>
              <w:t xml:space="preserve">Emerging growth company </w:t>
            </w:r>
            <w:r>
              <w:rPr>
                <w:rFonts w:ascii="Wingdings;sans-serif" w:hAnsi="Wingdings;sans-serif"/>
                <w:b w:val="false"/>
                <w:color w:val="000000"/>
                <w:sz w:val="17"/>
              </w:rPr>
              <w:t>o</w:t>
            </w:r>
          </w:p>
        </w:tc>
      </w:tr>
    </w:tbl>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60" w:after="283"/>
        <w:ind w:left="0" w:right="0" w:firstLine="288"/>
        <w:jc w:val="righ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28, 2026, 32,981,823 shares of common stock of Silicon Laboratories Inc.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80"/>
        <w:gridCol w:w="334"/>
        <w:gridCol w:w="334"/>
        <w:gridCol w:w="2840"/>
        <w:gridCol w:w="2766"/>
        <w:gridCol w:w="2751"/>
        <w:gridCol w:w="233"/>
        <w:gridCol w:w="233"/>
        <w:gridCol w:w="33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9405"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0">
              <w:r>
                <w:rPr>
                  <w:rStyle w:val="InternetLink"/>
                  <w:rFonts w:ascii="Times New Roman;serif" w:hAnsi="Times New Roman;serif"/>
                  <w:b w:val="false"/>
                  <w:color w:val="0000EE"/>
                  <w:sz w:val="20"/>
                  <w:u w:val="single"/>
                </w:rPr>
                <w:t>Part I. Financial Information</w:t>
              </w:r>
            </w:hyperlink>
          </w:p>
        </w:tc>
        <w:tc>
          <w:tcPr>
            <w:tcW w:w="8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Page</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3">
              <w:r>
                <w:rPr>
                  <w:rStyle w:val="InternetLink"/>
                  <w:rFonts w:ascii="Times New Roman;serif" w:hAnsi="Times New Roman;serif"/>
                  <w:b w:val="false"/>
                  <w:color w:val="0000EE"/>
                  <w:sz w:val="20"/>
                  <w:u w:val="single"/>
                </w:rPr>
                <w:t>Item 1.</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3">
              <w:r>
                <w:rPr>
                  <w:rStyle w:val="InternetLink"/>
                  <w:rFonts w:ascii="Times New Roman;serif" w:hAnsi="Times New Roman;serif"/>
                  <w:b w:val="false"/>
                  <w:color w:val="0000EE"/>
                  <w:sz w:val="20"/>
                  <w:u w:val="single"/>
                </w:rPr>
                <w:t>Financial Statements (Unaudited):</w:t>
              </w:r>
            </w:hyperlink>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6">
              <w:r>
                <w:rPr>
                  <w:rStyle w:val="InternetLink"/>
                  <w:rFonts w:ascii="Times New Roman;serif" w:hAnsi="Times New Roman;serif"/>
                  <w:b w:val="false"/>
                  <w:color w:val="000080"/>
                  <w:sz w:val="20"/>
                  <w:u w:val="single"/>
                </w:rPr>
                <w:t xml:space="preserve">Condensed Consolidated Balance Sheets at </w:t>
              </w:r>
            </w:hyperlink>
            <w:r>
              <w:rPr>
                <w:rFonts w:ascii="Times New Roman;serif" w:hAnsi="Times New Roman;serif"/>
                <w:b w:val="false"/>
                <w:color w:val="0000EE"/>
                <w:sz w:val="20"/>
                <w:u w:val="single"/>
              </w:rPr>
              <w:t>April 4, 2026</w:t>
            </w:r>
            <w:hyperlink w:anchor="ib000e313c1a04981982fdb247be6bd91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January 3, 2026</w:t>
            </w:r>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6">
              <w:r>
                <w:rPr>
                  <w:rStyle w:val="InternetLink"/>
                  <w:rFonts w:ascii="Times New Roman;serif" w:hAnsi="Times New Roman;serif"/>
                  <w:b w:val="false"/>
                  <w:strike w:val="false"/>
                  <w:dstrike w:val="false"/>
                  <w:color w:val="000000"/>
                  <w:sz w:val="20"/>
                  <w:u w:val="none"/>
                  <w:effect w:val="none"/>
                </w:rPr>
                <w:t>3</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00e313c1a04981982fdb247be6bd91_19">
              <w:r>
                <w:rPr>
                  <w:rStyle w:val="InternetLink"/>
                  <w:rFonts w:ascii="Times New Roman;serif" w:hAnsi="Times New Roman;serif"/>
                  <w:b w:val="false"/>
                  <w:color w:val="000080"/>
                  <w:sz w:val="20"/>
                  <w:u w:val="single"/>
                </w:rPr>
                <w:t xml:space="preserve">Condensed Consolidated Statements of </w:t>
              </w:r>
            </w:hyperlink>
            <w:r>
              <w:rPr>
                <w:rFonts w:ascii="Times New Roman;serif" w:hAnsi="Times New Roman;serif"/>
                <w:b w:val="false"/>
                <w:color w:val="0000EE"/>
                <w:sz w:val="20"/>
                <w:u w:val="single"/>
              </w:rPr>
              <w:t>Operations</w:t>
            </w:r>
            <w:hyperlink w:anchor="ib000e313c1a04981982fdb247be6bd91_19">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000EE"/>
                <w:sz w:val="20"/>
                <w:u w:val="single"/>
              </w:rPr>
              <w:t>three</w:t>
            </w:r>
            <w:hyperlink w:anchor="ib000e313c1a04981982fdb247be6bd91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EE"/>
                <w:sz w:val="20"/>
                <w:u w:val="single"/>
              </w:rPr>
              <w:t>April 4, 2026</w:t>
            </w:r>
            <w:hyperlink w:anchor="ib000e313c1a04981982fdb247be6bd91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April 5, 2025</w:t>
            </w:r>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9">
              <w:r>
                <w:rPr>
                  <w:rStyle w:val="InternetLink"/>
                  <w:rFonts w:ascii="Times New Roman;serif" w:hAnsi="Times New Roman;serif"/>
                  <w:b w:val="false"/>
                  <w:strike w:val="false"/>
                  <w:dstrike w:val="false"/>
                  <w:color w:val="000000"/>
                  <w:sz w:val="20"/>
                  <w:u w:val="none"/>
                  <w:effect w:val="none"/>
                </w:rPr>
                <w:t>4</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00e313c1a04981982fdb247be6bd91_22">
              <w:r>
                <w:rPr>
                  <w:rStyle w:val="InternetLink"/>
                  <w:rFonts w:ascii="Times New Roman;serif" w:hAnsi="Times New Roman;serif"/>
                  <w:b w:val="false"/>
                  <w:color w:val="000080"/>
                  <w:sz w:val="20"/>
                  <w:u w:val="single"/>
                </w:rPr>
                <w:t xml:space="preserve">Condensed Consolidated Statements of </w:t>
              </w:r>
            </w:hyperlink>
            <w:r>
              <w:rPr>
                <w:rFonts w:ascii="Times New Roman;serif" w:hAnsi="Times New Roman;serif"/>
                <w:b w:val="false"/>
                <w:color w:val="0000EE"/>
                <w:sz w:val="20"/>
                <w:u w:val="single"/>
              </w:rPr>
              <w:t>Comprehensive Loss</w:t>
            </w:r>
            <w:hyperlink w:anchor="ib000e313c1a04981982fdb247be6bd91_22">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000EE"/>
                <w:sz w:val="20"/>
                <w:u w:val="single"/>
              </w:rPr>
              <w:t>three</w:t>
            </w:r>
            <w:hyperlink w:anchor="ib000e313c1a04981982fdb247be6bd91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EE"/>
                <w:sz w:val="20"/>
                <w:u w:val="single"/>
              </w:rPr>
              <w:t>April 4, 2026</w:t>
            </w:r>
            <w:hyperlink w:anchor="ib000e313c1a04981982fdb247be6bd91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April 5, 2025</w:t>
            </w:r>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22">
              <w:r>
                <w:rPr>
                  <w:rStyle w:val="InternetLink"/>
                  <w:rFonts w:ascii="Times New Roman;serif" w:hAnsi="Times New Roman;serif"/>
                  <w:b w:val="false"/>
                  <w:strike w:val="false"/>
                  <w:dstrike w:val="false"/>
                  <w:color w:val="000000"/>
                  <w:sz w:val="20"/>
                  <w:u w:val="none"/>
                  <w:effect w:val="none"/>
                </w:rPr>
                <w:t>5</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00e313c1a04981982fdb247be6bd91_25">
              <w:r>
                <w:rPr>
                  <w:rStyle w:val="InternetLink"/>
                  <w:rFonts w:ascii="Times New Roman;serif" w:hAnsi="Times New Roman;serif"/>
                  <w:b w:val="false"/>
                  <w:color w:val="000080"/>
                  <w:sz w:val="20"/>
                  <w:u w:val="single"/>
                </w:rPr>
                <w:t xml:space="preserve">Condensed Consolidated Statements of Changes in Stockholders’ Equity for the </w:t>
              </w:r>
            </w:hyperlink>
            <w:r>
              <w:rPr>
                <w:rFonts w:ascii="Times New Roman;serif" w:hAnsi="Times New Roman;serif"/>
                <w:b w:val="false"/>
                <w:color w:val="0000EE"/>
                <w:sz w:val="20"/>
                <w:u w:val="single"/>
              </w:rPr>
              <w:t>three</w:t>
            </w:r>
            <w:hyperlink w:anchor="ib000e313c1a04981982fdb247be6bd91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EE"/>
                <w:sz w:val="20"/>
                <w:u w:val="single"/>
              </w:rPr>
              <w:t>April 4, 2026</w:t>
            </w:r>
            <w:hyperlink w:anchor="ib000e313c1a04981982fdb247be6bd91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April 5, 2025</w:t>
            </w:r>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25">
              <w:r>
                <w:rPr>
                  <w:rStyle w:val="InternetLink"/>
                  <w:rFonts w:ascii="Times New Roman;serif" w:hAnsi="Times New Roman;serif"/>
                  <w:b w:val="false"/>
                  <w:strike w:val="false"/>
                  <w:dstrike w:val="false"/>
                  <w:color w:val="000000"/>
                  <w:sz w:val="20"/>
                  <w:u w:val="none"/>
                  <w:effect w:val="none"/>
                </w:rPr>
                <w:t>6</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00e313c1a04981982fdb247be6bd91_28">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EE"/>
                <w:sz w:val="20"/>
                <w:u w:val="single"/>
              </w:rPr>
              <w:t>three</w:t>
            </w:r>
            <w:hyperlink w:anchor="ib000e313c1a04981982fdb247be6bd91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EE"/>
                <w:sz w:val="20"/>
                <w:u w:val="single"/>
              </w:rPr>
              <w:t>April 4, 2026</w:t>
            </w:r>
            <w:hyperlink w:anchor="ib000e313c1a04981982fdb247be6bd91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EE"/>
                <w:sz w:val="20"/>
                <w:u w:val="single"/>
              </w:rPr>
              <w:t>April 5, 2025</w:t>
            </w:r>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28">
              <w:r>
                <w:rPr>
                  <w:rStyle w:val="InternetLink"/>
                  <w:rFonts w:ascii="Times New Roman;serif" w:hAnsi="Times New Roman;serif"/>
                  <w:b w:val="false"/>
                  <w:strike w:val="false"/>
                  <w:dstrike w:val="false"/>
                  <w:color w:val="000000"/>
                  <w:sz w:val="20"/>
                  <w:u w:val="none"/>
                  <w:effect w:val="none"/>
                </w:rPr>
                <w:t>7</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31">
              <w:r>
                <w:rPr>
                  <w:rStyle w:val="InternetLink"/>
                  <w:rFonts w:ascii="Times New Roman;serif" w:hAnsi="Times New Roman;serif"/>
                  <w:b w:val="false"/>
                  <w:color w:val="0000EE"/>
                  <w:sz w:val="20"/>
                  <w:u w:val="single"/>
                </w:rPr>
                <w:t>Notes to Condensed Consolidated Financial Statements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31">
              <w:r>
                <w:rPr>
                  <w:rStyle w:val="InternetLink"/>
                  <w:rFonts w:ascii="Times New Roman;serif" w:hAnsi="Times New Roman;serif"/>
                  <w:b w:val="false"/>
                  <w:strike w:val="false"/>
                  <w:dstrike w:val="false"/>
                  <w:color w:val="000000"/>
                  <w:sz w:val="20"/>
                  <w:u w:val="none"/>
                  <w:effect w:val="none"/>
                </w:rPr>
                <w:t>8</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76">
              <w:r>
                <w:rPr>
                  <w:rStyle w:val="InternetLink"/>
                  <w:rFonts w:ascii="Times New Roman;serif" w:hAnsi="Times New Roman;serif"/>
                  <w:b w:val="false"/>
                  <w:color w:val="0000EE"/>
                  <w:sz w:val="20"/>
                  <w:u w:val="single"/>
                </w:rPr>
                <w:t>Item 2.</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76">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76">
              <w:r>
                <w:rPr>
                  <w:rStyle w:val="InternetLink"/>
                  <w:rFonts w:ascii="Times New Roman;serif" w:hAnsi="Times New Roman;serif"/>
                  <w:b w:val="false"/>
                  <w:strike w:val="false"/>
                  <w:dstrike w:val="false"/>
                  <w:color w:val="000000"/>
                  <w:sz w:val="20"/>
                  <w:u w:val="none"/>
                  <w:effect w:val="none"/>
                </w:rPr>
                <w:t>17</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24">
              <w:r>
                <w:rPr>
                  <w:rStyle w:val="InternetLink"/>
                  <w:rFonts w:ascii="Times New Roman;serif" w:hAnsi="Times New Roman;serif"/>
                  <w:b w:val="false"/>
                  <w:color w:val="0000EE"/>
                  <w:sz w:val="20"/>
                  <w:u w:val="single"/>
                </w:rPr>
                <w:t>Item 3.</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24">
              <w:r>
                <w:rPr>
                  <w:rStyle w:val="InternetLink"/>
                  <w:rFonts w:ascii="Times New Roman;serif" w:hAnsi="Times New Roman;serif"/>
                  <w:b w:val="false"/>
                  <w:color w:val="0000EE"/>
                  <w:sz w:val="20"/>
                  <w:u w:val="single"/>
                </w:rPr>
                <w:t>Quantitative and Qualitative Disclosures About Market Risk</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24">
              <w:r>
                <w:rPr>
                  <w:rStyle w:val="InternetLink"/>
                  <w:rFonts w:ascii="Times New Roman;serif" w:hAnsi="Times New Roman;serif"/>
                  <w:b w:val="false"/>
                  <w:strike w:val="false"/>
                  <w:dstrike w:val="false"/>
                  <w:color w:val="000000"/>
                  <w:sz w:val="20"/>
                  <w:u w:val="none"/>
                  <w:effect w:val="none"/>
                </w:rPr>
                <w:t>23</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27">
              <w:r>
                <w:rPr>
                  <w:rStyle w:val="InternetLink"/>
                  <w:rFonts w:ascii="Times New Roman;serif" w:hAnsi="Times New Roman;serif"/>
                  <w:b w:val="false"/>
                  <w:color w:val="0000EE"/>
                  <w:sz w:val="20"/>
                  <w:u w:val="single"/>
                </w:rPr>
                <w:t>Item 4.</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27">
              <w:r>
                <w:rPr>
                  <w:rStyle w:val="InternetLink"/>
                  <w:rFonts w:ascii="Times New Roman;serif" w:hAnsi="Times New Roman;serif"/>
                  <w:b w:val="false"/>
                  <w:color w:val="0000EE"/>
                  <w:sz w:val="20"/>
                  <w:u w:val="single"/>
                </w:rPr>
                <w:t>Controls and Procedures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27">
              <w:r>
                <w:rPr>
                  <w:rStyle w:val="InternetLink"/>
                  <w:rFonts w:ascii="Times New Roman;serif" w:hAnsi="Times New Roman;serif"/>
                  <w:b w:val="false"/>
                  <w:strike w:val="false"/>
                  <w:dstrike w:val="false"/>
                  <w:color w:val="000000"/>
                  <w:sz w:val="20"/>
                  <w:u w:val="none"/>
                  <w:effect w:val="none"/>
                </w:rPr>
                <w:t>23</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b000e313c1a04981982fdb247be6bd91_130">
              <w:r>
                <w:rPr>
                  <w:rStyle w:val="InternetLink"/>
                  <w:rFonts w:ascii="Times New Roman;serif" w:hAnsi="Times New Roman;serif"/>
                  <w:b w:val="false"/>
                  <w:color w:val="0000EE"/>
                  <w:sz w:val="20"/>
                  <w:u w:val="single"/>
                </w:rPr>
                <w:t>Part II. Other Information</w:t>
              </w:r>
            </w:hyperlink>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33">
              <w:r>
                <w:rPr>
                  <w:rStyle w:val="InternetLink"/>
                  <w:rFonts w:ascii="Times New Roman;serif" w:hAnsi="Times New Roman;serif"/>
                  <w:b w:val="false"/>
                  <w:color w:val="0000EE"/>
                  <w:sz w:val="20"/>
                  <w:u w:val="single"/>
                </w:rPr>
                <w:t>Item 1.</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33">
              <w:r>
                <w:rPr>
                  <w:rStyle w:val="InternetLink"/>
                  <w:rFonts w:ascii="Times New Roman;serif" w:hAnsi="Times New Roman;serif"/>
                  <w:b w:val="false"/>
                  <w:color w:val="0000EE"/>
                  <w:sz w:val="20"/>
                  <w:u w:val="single"/>
                </w:rPr>
                <w:t>Legal Proceedings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33">
              <w:r>
                <w:rPr>
                  <w:rStyle w:val="InternetLink"/>
                  <w:rFonts w:ascii="Times New Roman;serif" w:hAnsi="Times New Roman;serif"/>
                  <w:b w:val="false"/>
                  <w:strike w:val="false"/>
                  <w:dstrike w:val="false"/>
                  <w:color w:val="000000"/>
                  <w:sz w:val="20"/>
                  <w:u w:val="none"/>
                  <w:effect w:val="none"/>
                </w:rPr>
                <w:t>23</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36">
              <w:r>
                <w:rPr>
                  <w:rStyle w:val="InternetLink"/>
                  <w:rFonts w:ascii="Times New Roman;serif" w:hAnsi="Times New Roman;serif"/>
                  <w:b w:val="false"/>
                  <w:color w:val="0000EE"/>
                  <w:sz w:val="20"/>
                  <w:u w:val="single"/>
                </w:rPr>
                <w:t>Item 1A.</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36">
              <w:r>
                <w:rPr>
                  <w:rStyle w:val="InternetLink"/>
                  <w:rFonts w:ascii="Times New Roman;serif" w:hAnsi="Times New Roman;serif"/>
                  <w:b w:val="false"/>
                  <w:color w:val="0000EE"/>
                  <w:sz w:val="20"/>
                  <w:u w:val="single"/>
                </w:rPr>
                <w:t>Risk Factors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36">
              <w:r>
                <w:rPr>
                  <w:rStyle w:val="InternetLink"/>
                  <w:rFonts w:ascii="Times New Roman;serif" w:hAnsi="Times New Roman;serif"/>
                  <w:b w:val="false"/>
                  <w:strike w:val="false"/>
                  <w:dstrike w:val="false"/>
                  <w:color w:val="000000"/>
                  <w:sz w:val="20"/>
                  <w:u w:val="none"/>
                  <w:effect w:val="none"/>
                </w:rPr>
                <w:t>23</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39">
              <w:r>
                <w:rPr>
                  <w:rStyle w:val="InternetLink"/>
                  <w:rFonts w:ascii="Times New Roman;serif" w:hAnsi="Times New Roman;serif"/>
                  <w:b w:val="false"/>
                  <w:color w:val="0000EE"/>
                  <w:sz w:val="20"/>
                  <w:u w:val="single"/>
                </w:rPr>
                <w:t>Item 2.</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39">
              <w:r>
                <w:rPr>
                  <w:rStyle w:val="InternetLink"/>
                  <w:rFonts w:ascii="Times New Roman;serif" w:hAnsi="Times New Roman;serif"/>
                  <w:b w:val="false"/>
                  <w:color w:val="0000FF"/>
                  <w:sz w:val="20"/>
                  <w:u w:val="single"/>
                </w:rPr>
                <w:t>Unregistered Sales of Equity Securities and Use of Proceeds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39">
              <w:r>
                <w:rPr>
                  <w:rStyle w:val="InternetLink"/>
                  <w:rFonts w:ascii="Times New Roman;serif" w:hAnsi="Times New Roman;serif"/>
                  <w:b w:val="false"/>
                  <w:strike w:val="false"/>
                  <w:dstrike w:val="false"/>
                  <w:color w:val="000000"/>
                  <w:sz w:val="20"/>
                  <w:u w:val="none"/>
                  <w:effect w:val="none"/>
                </w:rPr>
                <w:t>41</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42">
              <w:r>
                <w:rPr>
                  <w:rStyle w:val="InternetLink"/>
                  <w:rFonts w:ascii="Times New Roman;serif" w:hAnsi="Times New Roman;serif"/>
                  <w:b w:val="false"/>
                  <w:color w:val="0000EE"/>
                  <w:sz w:val="20"/>
                  <w:u w:val="single"/>
                </w:rPr>
                <w:t>Item 3.</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42">
              <w:r>
                <w:rPr>
                  <w:rStyle w:val="InternetLink"/>
                  <w:rFonts w:ascii="Times New Roman;serif" w:hAnsi="Times New Roman;serif"/>
                  <w:b w:val="false"/>
                  <w:color w:val="0000EE"/>
                  <w:sz w:val="20"/>
                  <w:u w:val="single"/>
                </w:rPr>
                <w:t>Defaults Upon Senior Securities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42">
              <w:r>
                <w:rPr>
                  <w:rStyle w:val="InternetLink"/>
                  <w:rFonts w:ascii="Times New Roman;serif" w:hAnsi="Times New Roman;serif"/>
                  <w:b w:val="false"/>
                  <w:strike w:val="false"/>
                  <w:dstrike w:val="false"/>
                  <w:color w:val="000000"/>
                  <w:sz w:val="20"/>
                  <w:u w:val="none"/>
                  <w:effect w:val="none"/>
                </w:rPr>
                <w:t>41</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45">
              <w:r>
                <w:rPr>
                  <w:rStyle w:val="InternetLink"/>
                  <w:rFonts w:ascii="Times New Roman;serif" w:hAnsi="Times New Roman;serif"/>
                  <w:b w:val="false"/>
                  <w:color w:val="0000EE"/>
                  <w:sz w:val="20"/>
                  <w:u w:val="single"/>
                </w:rPr>
                <w:t>Item 4.</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45">
              <w:r>
                <w:rPr>
                  <w:rStyle w:val="InternetLink"/>
                  <w:rFonts w:ascii="Times New Roman;serif" w:hAnsi="Times New Roman;serif"/>
                  <w:b w:val="false"/>
                  <w:color w:val="0000EE"/>
                  <w:sz w:val="20"/>
                  <w:u w:val="single"/>
                </w:rPr>
                <w:t>Mine Safety Disclosures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45">
              <w:r>
                <w:rPr>
                  <w:rStyle w:val="InternetLink"/>
                  <w:rFonts w:ascii="Times New Roman;serif" w:hAnsi="Times New Roman;serif"/>
                  <w:b w:val="false"/>
                  <w:strike w:val="false"/>
                  <w:dstrike w:val="false"/>
                  <w:color w:val="000000"/>
                  <w:sz w:val="20"/>
                  <w:u w:val="none"/>
                  <w:effect w:val="none"/>
                </w:rPr>
                <w:t>41</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48">
              <w:r>
                <w:rPr>
                  <w:rStyle w:val="InternetLink"/>
                  <w:rFonts w:ascii="Times New Roman;serif" w:hAnsi="Times New Roman;serif"/>
                  <w:b w:val="false"/>
                  <w:color w:val="0000EE"/>
                  <w:sz w:val="20"/>
                  <w:u w:val="single"/>
                </w:rPr>
                <w:t>Item 5.</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48">
              <w:r>
                <w:rPr>
                  <w:rStyle w:val="InternetLink"/>
                  <w:rFonts w:ascii="Times New Roman;serif" w:hAnsi="Times New Roman;serif"/>
                  <w:b w:val="false"/>
                  <w:color w:val="0000EE"/>
                  <w:sz w:val="20"/>
                  <w:u w:val="single"/>
                </w:rPr>
                <w:t>Other Information</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48">
              <w:r>
                <w:rPr>
                  <w:rStyle w:val="InternetLink"/>
                  <w:rFonts w:ascii="Times New Roman;serif" w:hAnsi="Times New Roman;serif"/>
                  <w:b w:val="false"/>
                  <w:strike w:val="false"/>
                  <w:dstrike w:val="false"/>
                  <w:color w:val="000000"/>
                  <w:sz w:val="20"/>
                  <w:u w:val="none"/>
                  <w:effect w:val="none"/>
                </w:rPr>
                <w:t>41</w:t>
              </w:r>
            </w:hyperlink>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54">
              <w:r>
                <w:rPr>
                  <w:rStyle w:val="InternetLink"/>
                  <w:rFonts w:ascii="Times New Roman;serif" w:hAnsi="Times New Roman;serif"/>
                  <w:b w:val="false"/>
                  <w:color w:val="0000EE"/>
                  <w:sz w:val="20"/>
                  <w:u w:val="single"/>
                </w:rPr>
                <w:t>Item 6.</w:t>
              </w:r>
            </w:hyperlink>
          </w:p>
        </w:tc>
        <w:tc>
          <w:tcPr>
            <w:tcW w:w="835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00e313c1a04981982fdb247be6bd91_154">
              <w:r>
                <w:rPr>
                  <w:rStyle w:val="InternetLink"/>
                  <w:rFonts w:ascii="Times New Roman;serif" w:hAnsi="Times New Roman;serif"/>
                  <w:b w:val="false"/>
                  <w:color w:val="0000EE"/>
                  <w:sz w:val="20"/>
                  <w:u w:val="single"/>
                </w:rPr>
                <w:t>Exhibits</w:t>
              </w:r>
            </w:hyperlink>
          </w:p>
        </w:tc>
        <w:tc>
          <w:tcPr>
            <w:tcW w:w="80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00e313c1a04981982fdb247be6bd91_154">
              <w:r>
                <w:rPr>
                  <w:rStyle w:val="InternetLink"/>
                  <w:rFonts w:ascii="Times New Roman;serif" w:hAnsi="Times New Roman;serif"/>
                  <w:b w:val="false"/>
                  <w:strike w:val="false"/>
                  <w:dstrike w:val="false"/>
                  <w:color w:val="000000"/>
                  <w:sz w:val="20"/>
                  <w:u w:val="none"/>
                  <w:effect w:val="none"/>
                </w:rPr>
                <w:t>42</w:t>
              </w:r>
            </w:hyperlink>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Cautionary Statement</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Except for the historical financial information contained herein, the matters discussed in this report on Form 10-Q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46"/>
        <w:gridCol w:w="2265"/>
        <w:gridCol w:w="2228"/>
        <w:gridCol w:w="211"/>
        <w:gridCol w:w="976"/>
        <w:gridCol w:w="109"/>
        <w:gridCol w:w="109"/>
        <w:gridCol w:w="109"/>
        <w:gridCol w:w="109"/>
        <w:gridCol w:w="211"/>
        <w:gridCol w:w="976"/>
        <w:gridCol w:w="156"/>
      </w:tblGrid>
      <w:tr>
        <w:trPr/>
        <w:tc>
          <w:tcPr>
            <w:tcW w:w="274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364,222 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64,513 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70,316 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674,017 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128,643 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376,389 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returns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174,899 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 $0.0001 par value; 10,000 shares authorized; no shares issued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 $0.0001 par value; 250,000 shares authorized; 32,968 and 32,955 shares issued and outstanding at April 4, 2026 and January 3, 2026,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157,402 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936,814 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1,094,418 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074" w:type="dxa"/>
        <w:jc w:val="left"/>
        <w:tblInd w:w="0" w:type="dxa"/>
        <w:tblLayout w:type="fixed"/>
        <w:tblCellMar>
          <w:top w:w="28" w:type="dxa"/>
          <w:left w:w="28" w:type="dxa"/>
          <w:bottom w:w="28" w:type="dxa"/>
          <w:right w:w="28" w:type="dxa"/>
        </w:tblCellMar>
      </w:tblPr>
      <w:tblGrid>
        <w:gridCol w:w="1442"/>
        <w:gridCol w:w="1262"/>
        <w:gridCol w:w="1270"/>
        <w:gridCol w:w="211"/>
        <w:gridCol w:w="826"/>
        <w:gridCol w:w="109"/>
        <w:gridCol w:w="109"/>
        <w:gridCol w:w="109"/>
        <w:gridCol w:w="109"/>
        <w:gridCol w:w="211"/>
        <w:gridCol w:w="826"/>
        <w:gridCol w:w="109"/>
        <w:gridCol w:w="109"/>
        <w:gridCol w:w="109"/>
        <w:gridCol w:w="109"/>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00"/>
        <w:gridCol w:w="2264"/>
        <w:gridCol w:w="2305"/>
        <w:gridCol w:w="211"/>
        <w:gridCol w:w="793"/>
        <w:gridCol w:w="109"/>
        <w:gridCol w:w="109"/>
        <w:gridCol w:w="109"/>
        <w:gridCol w:w="109"/>
        <w:gridCol w:w="211"/>
        <w:gridCol w:w="793"/>
        <w:gridCol w:w="109"/>
        <w:gridCol w:w="109"/>
        <w:gridCol w:w="109"/>
        <w:gridCol w:w="109"/>
        <w:gridCol w:w="156"/>
      </w:tblGrid>
      <w:tr>
        <w:trPr/>
        <w:tc>
          <w:tcPr>
            <w:tcW w:w="2600"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to available-for-sale securities: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arising during the period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for gains included in net loss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 related to items of other comprehensive (loss) income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(30,213)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80" w:after="283"/>
        <w:jc w:val="left"/>
        <w:rPr/>
      </w:pPr>
      <w:r>
        <w:rPr/>
      </w:r>
    </w:p>
    <w:tbl>
      <w:tblPr>
        <w:tblW w:w="10205" w:type="dxa"/>
        <w:jc w:val="left"/>
        <w:tblInd w:w="0" w:type="dxa"/>
        <w:tblLayout w:type="fixed"/>
        <w:tblCellMar>
          <w:top w:w="28" w:type="dxa"/>
          <w:left w:w="28" w:type="dxa"/>
          <w:bottom w:w="28" w:type="dxa"/>
          <w:right w:w="28" w:type="dxa"/>
        </w:tblCellMar>
      </w:tblPr>
      <w:tblGrid>
        <w:gridCol w:w="902"/>
        <w:gridCol w:w="454"/>
        <w:gridCol w:w="458"/>
        <w:gridCol w:w="109"/>
        <w:gridCol w:w="109"/>
        <w:gridCol w:w="109"/>
        <w:gridCol w:w="199"/>
        <w:gridCol w:w="199"/>
        <w:gridCol w:w="203"/>
        <w:gridCol w:w="109"/>
        <w:gridCol w:w="109"/>
        <w:gridCol w:w="109"/>
        <w:gridCol w:w="280"/>
        <w:gridCol w:w="340"/>
        <w:gridCol w:w="146"/>
        <w:gridCol w:w="109"/>
        <w:gridCol w:w="109"/>
        <w:gridCol w:w="109"/>
        <w:gridCol w:w="196"/>
        <w:gridCol w:w="736"/>
        <w:gridCol w:w="109"/>
        <w:gridCol w:w="109"/>
        <w:gridCol w:w="109"/>
        <w:gridCol w:w="109"/>
        <w:gridCol w:w="196"/>
        <w:gridCol w:w="736"/>
        <w:gridCol w:w="109"/>
        <w:gridCol w:w="109"/>
        <w:gridCol w:w="109"/>
        <w:gridCol w:w="109"/>
        <w:gridCol w:w="474"/>
        <w:gridCol w:w="1019"/>
        <w:gridCol w:w="264"/>
        <w:gridCol w:w="109"/>
        <w:gridCol w:w="109"/>
        <w:gridCol w:w="109"/>
        <w:gridCol w:w="196"/>
        <w:gridCol w:w="871"/>
        <w:gridCol w:w="156"/>
      </w:tblGrid>
      <w:tr>
        <w:trPr/>
        <w:tc>
          <w:tcPr>
            <w:tcW w:w="90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Three Months Ended April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Balance as of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936,814 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1,094,418 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(15,897)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21,105 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920,917 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1,098,534 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7"/>
        <w:gridCol w:w="444"/>
        <w:gridCol w:w="449"/>
        <w:gridCol w:w="109"/>
        <w:gridCol w:w="109"/>
        <w:gridCol w:w="109"/>
        <w:gridCol w:w="199"/>
        <w:gridCol w:w="199"/>
        <w:gridCol w:w="203"/>
        <w:gridCol w:w="109"/>
        <w:gridCol w:w="109"/>
        <w:gridCol w:w="109"/>
        <w:gridCol w:w="274"/>
        <w:gridCol w:w="338"/>
        <w:gridCol w:w="154"/>
        <w:gridCol w:w="109"/>
        <w:gridCol w:w="109"/>
        <w:gridCol w:w="109"/>
        <w:gridCol w:w="196"/>
        <w:gridCol w:w="646"/>
        <w:gridCol w:w="109"/>
        <w:gridCol w:w="109"/>
        <w:gridCol w:w="109"/>
        <w:gridCol w:w="109"/>
        <w:gridCol w:w="196"/>
        <w:gridCol w:w="871"/>
        <w:gridCol w:w="109"/>
        <w:gridCol w:w="109"/>
        <w:gridCol w:w="109"/>
        <w:gridCol w:w="109"/>
        <w:gridCol w:w="468"/>
        <w:gridCol w:w="1007"/>
        <w:gridCol w:w="261"/>
        <w:gridCol w:w="109"/>
        <w:gridCol w:w="109"/>
        <w:gridCol w:w="109"/>
        <w:gridCol w:w="196"/>
        <w:gridCol w:w="871"/>
        <w:gridCol w:w="156"/>
      </w:tblGrid>
      <w:tr>
        <w:trPr/>
        <w:tc>
          <w:tcPr>
            <w:tcW w:w="8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Three Months Ended April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Balance as of December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1,080,021 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(30,470)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19,569 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971,251 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1,068,419 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19" w:type="dxa"/>
        <w:jc w:val="left"/>
        <w:tblInd w:w="0" w:type="dxa"/>
        <w:tblLayout w:type="fixed"/>
        <w:tblCellMar>
          <w:top w:w="28" w:type="dxa"/>
          <w:left w:w="28" w:type="dxa"/>
          <w:bottom w:w="28" w:type="dxa"/>
          <w:right w:w="28" w:type="dxa"/>
        </w:tblCellMar>
      </w:tblPr>
      <w:tblGrid>
        <w:gridCol w:w="2015"/>
        <w:gridCol w:w="1772"/>
        <w:gridCol w:w="1778"/>
        <w:gridCol w:w="196"/>
        <w:gridCol w:w="736"/>
        <w:gridCol w:w="109"/>
        <w:gridCol w:w="109"/>
        <w:gridCol w:w="109"/>
        <w:gridCol w:w="109"/>
        <w:gridCol w:w="196"/>
        <w:gridCol w:w="736"/>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April 5,</w:t>
              <w:b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 and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returns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48,128 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capital-related government incentives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taxes withheld for vested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43,270 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281,607 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324,877 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    Significant Accounting Policies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U.S. generally accepted accounting principles (“U.S. GAAP”) for interim financial information and the instructions to Form 10-Q and Article 10 of Regulation S-X. The information included herein contains all normal recurring accruals and adjustments which, in the opinion of management, are necessary to present fairly Silicon Laboratories Inc.’s (the “Company”) financial position, results of its operations, comprehensive loss, stockholders’ equity, and cash flows. The Condensed Consolidated Balance Sheet as of January 3, 2026 was derived from the Company’s audited Consolidated Financial Statements. All intercompany balances and transactions have been eliminated in consolidation. The condensed consolidated results of operations for the three months ended April 4, 2026 are not necessarily indicative of the results to be expected for the full year.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audited Consolidated Financial Statements and notes thereto for the year ended January 3, 2026, included in the Company’s Annual Report on Form 10-K filed with the Securities and Exchange Commission (“SEC”) on February 10,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prepares financial statements on a 52- or 53-week fiscal year that ends on the Saturday closest to December 31. Fiscal 2026 will have 52 weeks. Fiscal 2025 had 53 weeks with the extra week occurring in the first quarter of the year. In a 52-week year, each fiscal quarter consists of 13 weeks.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 The Company periodically reviews the assumptions used in its financial statement estimates.</w:t>
      </w:r>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This ASU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w:t>
      </w:r>
      <w:r>
        <w:rPr>
          <w:rFonts w:ascii="Times New Roman;serif" w:hAnsi="Times New Roman;serif"/>
          <w:b w:val="false"/>
          <w:color w:val="000000"/>
          <w:sz w:val="20"/>
        </w:rPr>
        <w:t>. This ASU clarifies and modernizes the accounting for costs related to internal-use software. The amendments in the ASU are effective for all entities for annual reporting periods beginning after December 15, 2027, and interim reporting periods within those annual reporting periods. Entities may apply the guidance using a prospective, retrospective or modified transition approach. Early adoption is permitted as of the beginning of an annual reporting period. The Company is currently evaluating the effect of this new guidance on its consolidated financial statements.</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w:t>
      </w:r>
      <w:r>
        <w:rPr>
          <w:color w:val="000000"/>
        </w:rPr>
        <w:t xml:space="preserve"> </w:t>
      </w:r>
      <w:r>
        <w:rPr>
          <w:rFonts w:ascii="Times New Roman;serif" w:hAnsi="Times New Roman;serif"/>
          <w:b w:val="false"/>
          <w:color w:val="000000"/>
          <w:sz w:val="20"/>
        </w:rPr>
        <w:t xml:space="preserve">This ASU establishes authoritative guidance about the recognition, measurement, and presentation of a grant received by a business entity from a government, including guidance for 1) a grant related to an asset and 2) a grant related to income. The amendments in this ASU are effective for annual reporting periods beginning after December 15, 2028, and interim reporting periods within those annual reporting periods. Entities may apply the guidance using a modified prospective or modified retrospective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    Significant Accounting Policies (Continued)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approach. Early adoption is permitted in both interim and annual reporting periods.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    Proposed Merger</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announced on February 4, 2026, the Company entered into an Agreement and Plan of Merger (the “Merger Agreement”) with Texas Instruments Incorporated (“Parent”) and Caldwell Merger Corp., a wholly-owned direct subsidiary of Parent (“Merger Subsidiary”), pursuant to which Merger Subsidiary will merge with and into Silicon Laboratories Inc. (the “Merger”), and the Company will survive the Merger as a wholly-owned direct subsidiary of Parent. At the effective time of the Merger, each share of the Company’s common stock outstanding as of immediately prior to the effective time (other than dissenting shares or any shares of common stock held by the Company as treasury stock or owned by Parent or any of the Company’s or Parent’s subsidiaries) will be cancelled and converted into the right to receive $231.00 in cash, without interest. The transactions contemplated by the Merger Agreement were unanimously approved by the Company’s board of directors, and on April 30, 2026 the Company obtained the approval of its stockholders required to adopt the Merger Agreement. The Merger is expected to close in the first half of 2027, subject to customary closing conditions, including the receipt of required regulatory approvals. </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Merger, for the three months ended April 4, 2026 we have incurred $11.2 million of costs, and expect to continue to incur financial advisory, legal, accounting, and other professional fees prior to the completion of the Merger, which could be significant.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3.    Earnings Per Share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thousands, except per share data):</w:t>
      </w:r>
    </w:p>
    <w:tbl>
      <w:tblPr>
        <w:tblW w:w="7375" w:type="dxa"/>
        <w:jc w:val="left"/>
        <w:tblInd w:w="0" w:type="dxa"/>
        <w:tblLayout w:type="fixed"/>
        <w:tblCellMar>
          <w:top w:w="28" w:type="dxa"/>
          <w:left w:w="28" w:type="dxa"/>
          <w:bottom w:w="28" w:type="dxa"/>
          <w:right w:w="28" w:type="dxa"/>
        </w:tblCellMar>
      </w:tblPr>
      <w:tblGrid>
        <w:gridCol w:w="1569"/>
        <w:gridCol w:w="1370"/>
        <w:gridCol w:w="1396"/>
        <w:gridCol w:w="211"/>
        <w:gridCol w:w="796"/>
        <w:gridCol w:w="109"/>
        <w:gridCol w:w="109"/>
        <w:gridCol w:w="109"/>
        <w:gridCol w:w="109"/>
        <w:gridCol w:w="211"/>
        <w:gridCol w:w="796"/>
        <w:gridCol w:w="109"/>
        <w:gridCol w:w="109"/>
        <w:gridCol w:w="109"/>
        <w:gridCol w:w="109"/>
        <w:gridCol w:w="154"/>
      </w:tblGrid>
      <w:tr>
        <w:trPr/>
        <w:tc>
          <w:tcPr>
            <w:tcW w:w="156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basic earnings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diluted earnings per share</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 shares for the three months ended April 4, 2026 and April 5, 2025 excluded 0.6 million and 0.3 million shares, respectively, as they were anti-dilutive due to the Company’s net loss for the periods. Securities that were anti-dilutive due to the Company’s stock price and were excluded from the computation of diluted earnings per share for the three months ended April 4, 2026 and April 5, 2025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    Fair Value of Financial Instruments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financial instruments are recorded using a hierarchical disclosure framework based upon the level of subjectivity of the inputs used in measuring assets and liabilities. The three levels are described below: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Level 1 - Inputs are unadjusted, quoted prices in active markets for identical assets or liabilities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    Fair Value of Financial Instruments (Continued)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Level 2 - Inputs other than Level 1 that are directly or indirectly observable, such as quoted prices for similar assets or liabilities and quoted prices in less active markets.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Level 3 - Inputs are unobservable for the asset or liability and are developed based on the best information available in the circumstances, which might include the Company’s own data.</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valuation of the Company’s financial instruments (in thousands). The tables do not include either cash on hand or assets and liabilities that are measured at historical cost or any basis other than fair value.</w:t>
      </w:r>
    </w:p>
    <w:tbl>
      <w:tblPr>
        <w:tblW w:w="7467" w:type="dxa"/>
        <w:jc w:val="center"/>
        <w:tblInd w:w="0" w:type="dxa"/>
        <w:tblLayout w:type="fixed"/>
        <w:tblCellMar>
          <w:top w:w="28" w:type="dxa"/>
          <w:left w:w="28" w:type="dxa"/>
          <w:bottom w:w="28" w:type="dxa"/>
          <w:right w:w="28" w:type="dxa"/>
        </w:tblCellMar>
      </w:tblPr>
      <w:tblGrid>
        <w:gridCol w:w="882"/>
        <w:gridCol w:w="775"/>
        <w:gridCol w:w="788"/>
        <w:gridCol w:w="109"/>
        <w:gridCol w:w="109"/>
        <w:gridCol w:w="109"/>
        <w:gridCol w:w="273"/>
        <w:gridCol w:w="1071"/>
        <w:gridCol w:w="141"/>
        <w:gridCol w:w="109"/>
        <w:gridCol w:w="109"/>
        <w:gridCol w:w="109"/>
        <w:gridCol w:w="276"/>
        <w:gridCol w:w="946"/>
        <w:gridCol w:w="143"/>
        <w:gridCol w:w="109"/>
        <w:gridCol w:w="109"/>
        <w:gridCol w:w="109"/>
        <w:gridCol w:w="211"/>
        <w:gridCol w:w="82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br/>
              <w:t>at April 4, 2026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217,216 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217,216 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61,257 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67" w:type="dxa"/>
        <w:jc w:val="center"/>
        <w:tblInd w:w="0" w:type="dxa"/>
        <w:tblLayout w:type="fixed"/>
        <w:tblCellMar>
          <w:top w:w="28" w:type="dxa"/>
          <w:left w:w="28" w:type="dxa"/>
          <w:bottom w:w="28" w:type="dxa"/>
          <w:right w:w="28" w:type="dxa"/>
        </w:tblCellMar>
      </w:tblPr>
      <w:tblGrid>
        <w:gridCol w:w="882"/>
        <w:gridCol w:w="775"/>
        <w:gridCol w:w="788"/>
        <w:gridCol w:w="109"/>
        <w:gridCol w:w="109"/>
        <w:gridCol w:w="109"/>
        <w:gridCol w:w="273"/>
        <w:gridCol w:w="1071"/>
        <w:gridCol w:w="141"/>
        <w:gridCol w:w="109"/>
        <w:gridCol w:w="109"/>
        <w:gridCol w:w="109"/>
        <w:gridCol w:w="276"/>
        <w:gridCol w:w="946"/>
        <w:gridCol w:w="143"/>
        <w:gridCol w:w="109"/>
        <w:gridCol w:w="109"/>
        <w:gridCol w:w="109"/>
        <w:gridCol w:w="211"/>
        <w:gridCol w:w="82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br/>
              <w:t>at January 3, 2026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84,995 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Valuation methodology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that are classified as Level 2 are valued using non-binding market consensus prices that are corroborated with observable market data; quoted market prices for similar instruments in active markets; quoted prices in less active markets; or pricing models, such as a discounted cash flow model, with all significant inputs derived from or corroborated with observable market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    Fair Value of Financial Instruments (Continued)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components of available-for-sale investments (in thousands):</w:t>
      </w:r>
    </w:p>
    <w:tbl>
      <w:tblPr>
        <w:tblW w:w="10205" w:type="dxa"/>
        <w:jc w:val="left"/>
        <w:tblInd w:w="0" w:type="dxa"/>
        <w:tblLayout w:type="fixed"/>
        <w:tblCellMar>
          <w:top w:w="28" w:type="dxa"/>
          <w:left w:w="28" w:type="dxa"/>
          <w:bottom w:w="28" w:type="dxa"/>
          <w:right w:w="28" w:type="dxa"/>
        </w:tblCellMar>
      </w:tblPr>
      <w:tblGrid>
        <w:gridCol w:w="597"/>
        <w:gridCol w:w="485"/>
        <w:gridCol w:w="269"/>
        <w:gridCol w:w="109"/>
        <w:gridCol w:w="109"/>
        <w:gridCol w:w="109"/>
        <w:gridCol w:w="228"/>
        <w:gridCol w:w="893"/>
        <w:gridCol w:w="117"/>
        <w:gridCol w:w="109"/>
        <w:gridCol w:w="109"/>
        <w:gridCol w:w="109"/>
        <w:gridCol w:w="307"/>
        <w:gridCol w:w="592"/>
        <w:gridCol w:w="160"/>
        <w:gridCol w:w="109"/>
        <w:gridCol w:w="109"/>
        <w:gridCol w:w="109"/>
        <w:gridCol w:w="309"/>
        <w:gridCol w:w="595"/>
        <w:gridCol w:w="161"/>
        <w:gridCol w:w="109"/>
        <w:gridCol w:w="109"/>
        <w:gridCol w:w="109"/>
        <w:gridCol w:w="211"/>
        <w:gridCol w:w="826"/>
        <w:gridCol w:w="109"/>
        <w:gridCol w:w="109"/>
        <w:gridCol w:w="109"/>
        <w:gridCol w:w="109"/>
        <w:gridCol w:w="215"/>
        <w:gridCol w:w="845"/>
        <w:gridCol w:w="111"/>
        <w:gridCol w:w="109"/>
        <w:gridCol w:w="109"/>
        <w:gridCol w:w="109"/>
        <w:gridCol w:w="234"/>
        <w:gridCol w:w="800"/>
        <w:gridCol w:w="179"/>
      </w:tblGrid>
      <w:tr>
        <w:trPr/>
        <w:tc>
          <w:tcPr>
            <w:tcW w:w="5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April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278,393 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222,706 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1"/>
        <w:gridCol w:w="329"/>
        <w:gridCol w:w="332"/>
        <w:gridCol w:w="109"/>
        <w:gridCol w:w="109"/>
        <w:gridCol w:w="109"/>
        <w:gridCol w:w="228"/>
        <w:gridCol w:w="893"/>
        <w:gridCol w:w="117"/>
        <w:gridCol w:w="109"/>
        <w:gridCol w:w="109"/>
        <w:gridCol w:w="109"/>
        <w:gridCol w:w="283"/>
        <w:gridCol w:w="628"/>
        <w:gridCol w:w="148"/>
        <w:gridCol w:w="109"/>
        <w:gridCol w:w="109"/>
        <w:gridCol w:w="109"/>
        <w:gridCol w:w="309"/>
        <w:gridCol w:w="595"/>
        <w:gridCol w:w="161"/>
        <w:gridCol w:w="109"/>
        <w:gridCol w:w="109"/>
        <w:gridCol w:w="109"/>
        <w:gridCol w:w="211"/>
        <w:gridCol w:w="826"/>
        <w:gridCol w:w="109"/>
        <w:gridCol w:w="109"/>
        <w:gridCol w:w="109"/>
        <w:gridCol w:w="109"/>
        <w:gridCol w:w="215"/>
        <w:gridCol w:w="845"/>
        <w:gridCol w:w="111"/>
        <w:gridCol w:w="109"/>
        <w:gridCol w:w="109"/>
        <w:gridCol w:w="109"/>
        <w:gridCol w:w="234"/>
        <w:gridCol w:w="800"/>
        <w:gridCol w:w="178"/>
      </w:tblGrid>
      <w:tr>
        <w:trPr/>
        <w:tc>
          <w:tcPr>
            <w:tcW w:w="6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3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January 03,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206,051 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290,794 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211,646 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Contractual maturities of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available-for-sale investments are reported at fair value, with unrealized gains and losses, net of tax, recorded as a component of accumulated other comprehensive income in the Condensed Consolidated Balance Sheet. The following summarizes the contractual underlying maturities of the Company’s available-for-sale investments at April 4, 2026 (in thousands):</w:t>
      </w:r>
    </w:p>
    <w:tbl>
      <w:tblPr>
        <w:tblW w:w="5604" w:type="dxa"/>
        <w:jc w:val="center"/>
        <w:tblInd w:w="0" w:type="dxa"/>
        <w:tblLayout w:type="fixed"/>
        <w:tblCellMar>
          <w:top w:w="28" w:type="dxa"/>
          <w:left w:w="28" w:type="dxa"/>
          <w:bottom w:w="28" w:type="dxa"/>
          <w:right w:w="28" w:type="dxa"/>
        </w:tblCellMar>
      </w:tblPr>
      <w:tblGrid>
        <w:gridCol w:w="1136"/>
        <w:gridCol w:w="1000"/>
        <w:gridCol w:w="1014"/>
        <w:gridCol w:w="211"/>
        <w:gridCol w:w="721"/>
        <w:gridCol w:w="109"/>
        <w:gridCol w:w="109"/>
        <w:gridCol w:w="109"/>
        <w:gridCol w:w="109"/>
        <w:gridCol w:w="211"/>
        <w:gridCol w:w="721"/>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 xml:space="preserve">Fair Value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in one year or less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after one year through five years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Unrealized Gains and Losses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available-for-sale investments that were in a continuous unrealized loss position, aggregated by length of time that individual securities have been in a continuous loss position, were as follows (in thousands):</w:t>
      </w:r>
    </w:p>
    <w:tbl>
      <w:tblPr>
        <w:tblW w:w="10205" w:type="dxa"/>
        <w:jc w:val="left"/>
        <w:tblInd w:w="0" w:type="dxa"/>
        <w:tblLayout w:type="fixed"/>
        <w:tblCellMar>
          <w:top w:w="28" w:type="dxa"/>
          <w:left w:w="28" w:type="dxa"/>
          <w:bottom w:w="28" w:type="dxa"/>
          <w:right w:w="28" w:type="dxa"/>
        </w:tblCellMar>
      </w:tblPr>
      <w:tblGrid>
        <w:gridCol w:w="670"/>
        <w:gridCol w:w="562"/>
        <w:gridCol w:w="411"/>
        <w:gridCol w:w="109"/>
        <w:gridCol w:w="109"/>
        <w:gridCol w:w="109"/>
        <w:gridCol w:w="211"/>
        <w:gridCol w:w="616"/>
        <w:gridCol w:w="109"/>
        <w:gridCol w:w="109"/>
        <w:gridCol w:w="109"/>
        <w:gridCol w:w="109"/>
        <w:gridCol w:w="462"/>
        <w:gridCol w:w="593"/>
        <w:gridCol w:w="239"/>
        <w:gridCol w:w="109"/>
        <w:gridCol w:w="109"/>
        <w:gridCol w:w="109"/>
        <w:gridCol w:w="230"/>
        <w:gridCol w:w="444"/>
        <w:gridCol w:w="119"/>
        <w:gridCol w:w="109"/>
        <w:gridCol w:w="109"/>
        <w:gridCol w:w="109"/>
        <w:gridCol w:w="375"/>
        <w:gridCol w:w="724"/>
        <w:gridCol w:w="195"/>
        <w:gridCol w:w="109"/>
        <w:gridCol w:w="109"/>
        <w:gridCol w:w="109"/>
        <w:gridCol w:w="211"/>
        <w:gridCol w:w="616"/>
        <w:gridCol w:w="109"/>
        <w:gridCol w:w="109"/>
        <w:gridCol w:w="109"/>
        <w:gridCol w:w="109"/>
        <w:gridCol w:w="443"/>
        <w:gridCol w:w="570"/>
        <w:gridCol w:w="334"/>
      </w:tblGrid>
      <w:tr>
        <w:trPr/>
        <w:tc>
          <w:tcPr>
            <w:tcW w:w="67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April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unrealized losses as of April 4, 2026 were due primarily to changes in market interest rates. There were no gross unrealized losses as of January 3, 2026. At April 4, 2026 and January 3, 2026, there were no material unrealized gains associated with the Company’s available-for-sale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an allowance for credit loss when a decline in investment market value is due to credit-related factors. When evaluating an investment for impairment, the Company reviews factors such as the severity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    Fair Value of Financial Instruments (Continued)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April 4, 2026, there were no material declines in the market value of available-for-sale investments due to credit-related factors.</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Fair values of other financial instruments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other financial instruments, including cash, accounts receivable and accounts payable, are recorded at amounts that approximate their fair values due to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5.    Derivative Financial Instruments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use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Condensed Consolidated Balance Sheet at fair value. Cash flows from derivatives are classified according to the nature of the cash receipt or payment in the Condensed Consolidated Statement of Cash Flows.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Hedges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use foreign currency forward contracts to reduce the earnings impact that exchange rate fluctuations have on operating expenses denominated in currencies other than the U.S. dollar. Changes in the fair value of the contracts are recorded in accumulated other comprehensive income in the Condensed Consolidated Balance Sheet and subsequently reclassified into earnings in the period during which the hedged transaction was recognized. The reclassified amount is reported in the same financial statement line item as the hedged item. If the foreign currency forward contracts are terminated or can no longer qualify as hedging instruments prior to maturity, the fair value of the contracts recorded in accumulated other comprehensive income may be recognized in the Condensed Consolidated Statement of Operations based on an assessment of the contracts at the time of termination.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enter into any foreign currency forward contracts for its forecasted operating expenses for the quarter ended April 4, 2026. As of April 4, 2026, the Company held no such foreign currency contracts. The fair value of the contracts, contract gains or losses recognized in other comprehensive (loss) income and amounts reclassified from accumulated other comprehensive income into earnings were not material for any of the periods presented.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Non-designated Hedges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use foreign currency forward contracts to reduce the earnings impact that exchange rate fluctuations have on non-U.S. dollar balance sheet exposures. The Company recognizes gains and losses on the foreign currency forward contracts in interest income and other, net in the Condensed Consolidated Statement of Operations. The Company does not apply hedge accounting to these foreign currency forward contracts.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4, 2026, the Company held no such foreign currency forward contracts. The fair value of the foreign currency forward contracts and contract gains and losses recognized in income were not material for any of the periods presented.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foreign currency forward contracts, both designated and not designated as hedging instruments, are classified within Level 2 as the valuation inputs include foreign exchange rates, forward and spot prices for currencies, and market observable data of similar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6.    Supplemental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details of selected Condensed Consolidated Balance Sheet items (in thousands):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Inventories</w:t>
      </w:r>
    </w:p>
    <w:tbl>
      <w:tblPr>
        <w:tblW w:w="4059" w:type="dxa"/>
        <w:jc w:val="center"/>
        <w:tblInd w:w="0" w:type="dxa"/>
        <w:tblLayout w:type="fixed"/>
        <w:tblCellMar>
          <w:top w:w="28" w:type="dxa"/>
          <w:left w:w="28" w:type="dxa"/>
          <w:bottom w:w="28" w:type="dxa"/>
          <w:right w:w="28" w:type="dxa"/>
        </w:tblCellMar>
      </w:tblPr>
      <w:tblGrid>
        <w:gridCol w:w="543"/>
        <w:gridCol w:w="477"/>
        <w:gridCol w:w="480"/>
        <w:gridCol w:w="211"/>
        <w:gridCol w:w="826"/>
        <w:gridCol w:w="109"/>
        <w:gridCol w:w="109"/>
        <w:gridCol w:w="109"/>
        <w:gridCol w:w="109"/>
        <w:gridCol w:w="211"/>
        <w:gridCol w:w="721"/>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certain of its domestic subsidiaries (the “Guarantors”) have a $400 million revolving credit facility, as amended on June 30, 2023, with a maturity date of June 30, 2028. The credit facility includes a $25 million letter of credit sublimit and a $10 million swingline loan sublimit. The Company also has an option to increase the size of the borrowing capacity by up to the greater of an aggregate of $250 million and 100% of EBITDA of the last four fiscal quarters, plus an amount that would not cause a secured net leverage ratio (funded debt secured by assets/EBITDA) to exceed 3.50 to 1.00, subject to certain conditions.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other than swingline loans, will bear interest at the Adjusted Term Secured Overnight Financing Rate (“SOFR”) plus an applicable margin or, at the option of the Company, a base rate (defined as the highest of the Wells Fargo prime rate, the Federal Funds rate plus 0.50% and the Adjusted Term SOFR plus 1.00%) plus an applicable margin. Swingline loans accrue interest at the base rate plus the applicable margin for base rate loans. The applicable margins for the Adjusted Term SOFR loans range from 1.00% to 1.75% and for base rate loans range from 0.00% to 0.75%, depending in each case, on the leverage ratio as defined in the credit facility.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contains various conditions, covenants and representations with which the Company must be in compliance in order to borrow funds and to avoid an event of default, including financial covenants that the Company must maintain a consolidated net leverage ratio (funded indebtedness less cash and cash equivalents up to $750 million and divided by EBITDA) of no more than 4.25 to 1, and a minimum interest coverage ratio (EBITDA/interest payments) of no less than 2.50 to 1.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4, 2026, the Company was in compliance with all covenants of the credit facility, including the minimum interest coverage ratio. The Company’s obligations under the credit facility are guaranteed by the Guarantors and are secured by a security interest in substantially all assets of the Company and the Guarantors. As of April 4, 2026, no amounts were outstanding on the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legal proceedings that have arisen in the normal course of business. While the ultimate results cannot be predicted with certainty, the Company does not expect them to have a material adverse effect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9.    Revenues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groups its products as Industrial &amp; Commercial or Home &amp; Life based on the target markets they address. The following represents revenue by product category (in thousands):</w:t>
      </w:r>
    </w:p>
    <w:tbl>
      <w:tblPr>
        <w:tblW w:w="5229" w:type="dxa"/>
        <w:jc w:val="center"/>
        <w:tblInd w:w="0" w:type="dxa"/>
        <w:tblLayout w:type="fixed"/>
        <w:tblCellMar>
          <w:top w:w="28" w:type="dxa"/>
          <w:left w:w="28" w:type="dxa"/>
          <w:bottom w:w="28" w:type="dxa"/>
          <w:right w:w="28" w:type="dxa"/>
        </w:tblCellMar>
      </w:tblPr>
      <w:tblGrid>
        <w:gridCol w:w="771"/>
        <w:gridCol w:w="678"/>
        <w:gridCol w:w="680"/>
        <w:gridCol w:w="211"/>
        <w:gridCol w:w="826"/>
        <w:gridCol w:w="109"/>
        <w:gridCol w:w="109"/>
        <w:gridCol w:w="109"/>
        <w:gridCol w:w="109"/>
        <w:gridCol w:w="211"/>
        <w:gridCol w:w="826"/>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&amp; Commercial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Home &amp; Life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portion of the Company’s sales are made to distributors under agreements allowing certain rights of return and/or price protection related to the final selling price to the end customers. These factors impact the timing and uncertainty of revenues and cash flows. During the three months ended April 4, 2026, the Company recognized revenue of $5.1 million from performance obligations that were satisfied in the previous reporting period. During the three months ended April 5, 2025, the impact of revenue related to performance obligations that were satisfied in the previous reporting period was insignificant. The following disaggregates the Company’s revenue by sales channel (in thousands):</w:t>
      </w:r>
    </w:p>
    <w:tbl>
      <w:tblPr>
        <w:tblW w:w="4570" w:type="dxa"/>
        <w:jc w:val="center"/>
        <w:tblInd w:w="0" w:type="dxa"/>
        <w:tblLayout w:type="fixed"/>
        <w:tblCellMar>
          <w:top w:w="28" w:type="dxa"/>
          <w:left w:w="28" w:type="dxa"/>
          <w:bottom w:w="28" w:type="dxa"/>
          <w:right w:w="28" w:type="dxa"/>
        </w:tblCellMar>
      </w:tblPr>
      <w:tblGrid>
        <w:gridCol w:w="532"/>
        <w:gridCol w:w="468"/>
        <w:gridCol w:w="470"/>
        <w:gridCol w:w="211"/>
        <w:gridCol w:w="826"/>
        <w:gridCol w:w="109"/>
        <w:gridCol w:w="109"/>
        <w:gridCol w:w="109"/>
        <w:gridCol w:w="109"/>
        <w:gridCol w:w="211"/>
        <w:gridCol w:w="826"/>
        <w:gridCol w:w="109"/>
        <w:gridCol w:w="109"/>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costs are based on the fair values on the date of grant for stock awards and stock options and on the date of enrollment for the employee stock purchase plans. The fair values of stock awards (such as restricted stock units (“RSUs”) and performance stock units (“PSUs”) are estimated based on their intrinsic values. The fair values of stock options and rights under the Company’s Employee Stock Purchase Plan are estimated using the Black-Scholes option-pricing model.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details of stock-based compensation costs recognized in the Condensed Consolidated Statements of Operations (in thousands): </w:t>
      </w:r>
    </w:p>
    <w:tbl>
      <w:tblPr>
        <w:tblW w:w="5844"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0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approximately $143.8 million of total unrecognized compensation cost related to equity grants as of April 4, 2026 that is expected to be recognized over a weighted-average period of approximately 2.2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ind w:left="0" w:right="0" w:hanging="36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includes both domestic and foreign income taxes at the applicable tax rates adjusted for non-deductible expenses, research and development tax credits, deemed foreign income inclusions, change in the valuation allowance, and other permanent differences. Typically, the Company’s interim provision for income taxes is determined using an estimated annual effective tax rate, adjusted for discrete tax items. When the Company is unable to make a reliable estimate of the annual effective tax rate, it uses the actual effective tax rate for the year-to-date period. For the three months ended April 4, 2026, the Company used an actual effective tax rate in jurisdictions where a small change in forecasted pre-tax income or loss has the potential to distort the estimated annual effective tax 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was $2.2 million and $1.9 million for the three months ended April 4, 2026 and April 5, 2025, resulting in effective tax rates of (16.1)% and (6.6)%, respectively. The decrease in the effective tax rate for the three months ended April 4, 2026 is primarily due to a decrease in pre-tax book loss, as the impact of permanent items is relatively greater when the pre-tax loss is smaller.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valuation allowance is required to be established when it is more likely than not that some portion or all of a deferred tax asset will not be realized. In 2024, the Company identified a need for valuation allowances in the U.S. and Singapore due to the presence of significant negative evidence, including recent operating losses and uncertainty around the timing of recovery in economic conditions within both the semiconductor industry and the broader economy. Because of the valuation allowance, we are unable to recognize the full tax benefit of the pre-tax losses incurred in those jurisdictions in the current year. We intend to maintain the valuation allowance until our ability to forecast sufficient future sources of taxable income is reestablished.</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Uncertain Tax Positions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April 4, 2026, the Company had gross unrecognized tax benefits, inclusive of interest, of $4.7 million, of which $1.8 million would affect the effective tax rate if recognized.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Tax years 2021 through 2026 remain open to examination by the major taxing jurisdictions in which the Company operates. The Company’s 2022 tax year is currently under examination in the U.S., and the Company’s 2023 tax year is currently under examination in India. Although the outcome of tax audits is always uncertain, the Company believes that the results of these examinations will not materially impact its financial position or results of operations. The Company is not currently under audit in any other major taxing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one operating segment, mixed-signal analog intensive products, consisting of numerous product areas. The Company’s chief operating decision maker (“CODM”) is the Chief Executive Officer. The CODM assesses performance for the operating segment and decides how to allocate resources based on net income (loss) that is also reported on the Condensed Consolidated Statement of Operations as Net loss. The measure of segment assets is reported on the Condensed Consolidated Balance Sheets as Total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 Segment Information (Continued)</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is attributed to a geographic area based on the shipped-to location. The following summarizes the Company’s revenue by geographic area (in thousands):</w:t>
      </w:r>
    </w:p>
    <w:tbl>
      <w:tblPr>
        <w:tblW w:w="4299" w:type="dxa"/>
        <w:jc w:val="center"/>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177,714 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significant expense categories regularly provided to the CODM, in addition to the expense categories included within net loss presented on the Company’s Condensed Consolidated Statement of Operations, are as follows (in thousands):</w:t>
      </w:r>
    </w:p>
    <w:tbl>
      <w:tblPr>
        <w:tblW w:w="7300" w:type="dxa"/>
        <w:jc w:val="left"/>
        <w:tblInd w:w="0" w:type="dxa"/>
        <w:tblLayout w:type="fixed"/>
        <w:tblCellMar>
          <w:top w:w="28" w:type="dxa"/>
          <w:left w:w="28" w:type="dxa"/>
          <w:bottom w:w="28" w:type="dxa"/>
          <w:right w:w="28" w:type="dxa"/>
        </w:tblCellMar>
      </w:tblPr>
      <w:tblGrid>
        <w:gridCol w:w="1597"/>
        <w:gridCol w:w="1402"/>
        <w:gridCol w:w="1411"/>
        <w:gridCol w:w="211"/>
        <w:gridCol w:w="721"/>
        <w:gridCol w:w="109"/>
        <w:gridCol w:w="109"/>
        <w:gridCol w:w="109"/>
        <w:gridCol w:w="109"/>
        <w:gridCol w:w="211"/>
        <w:gridCol w:w="721"/>
        <w:gridCol w:w="109"/>
        <w:gridCol w:w="109"/>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Research 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base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research and development expenses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base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selling, general and administrative expenses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research and development and selling, general and administrative expenses include other personnel-related expenses, outside services, software expense, depreciation, amortization, and other expenses.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property and equipment, net by geographic area (in thousands):</w:t>
      </w:r>
    </w:p>
    <w:tbl>
      <w:tblPr>
        <w:tblW w:w="3863" w:type="dxa"/>
        <w:jc w:val="center"/>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105,863 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106,706 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131,821 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128,643 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financial condition and results of operations should be read in conjunction with the Condensed Consolidated Financial Statements and related notes thereto included elsewhere in this report. This discussion contains forward-looking statements. Please see the “Cautionary Statement” above and “Risk Factors” below for discussions of the uncertainties, risks and assumptions associated with these statements. Our fiscal year-end financial reporting periods are a 52- or 53-week fiscal year that ends on the Saturday closest to December 31. Fiscal 2026 will have 52 weeks. Fiscal 2025 had 53 weeks with the extra week occurring in the first quarter of the year. Our first quarter of fiscal 2026 ended April 4, 2026 and our first quarter of fiscal 2025 ended April 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Proposed Merger</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announced on February 4, 2026, we entered into an Agreement and Plan of Merger (the “Merger Agreement”) with Texas Instruments Incorporated (“Parent”) and Caldwell Merger Corp., a wholly-owned direct subsidiary of Parent (“Merger Subsidiary”), pursuant to which Merger Subsidiary will merge with and into Silicon Laboratories Inc. (the “Merger”), and we will survive the Merger as a wholly-owned direct subsidiary of Parent. At the effective time of the Merger, each share of our common stock outstanding as of immediately prior to the effective time (other than dissenting shares or any shares of our common stock held by us as treasury stock or owned by Parent or any of our or Parent’s subsidiaries) will be cancelled and converted into the right to receive $231.00 in cash, without interest. The transactions contemplated by the Merger Agreement were unanimously approved by our board of directors, and on April 30, 2026 we obtained the approval of our stockholders required to adopt the Merger Agreement. The Merger is expected to close in the first half of 2027, subject to customary closing conditions, including approval by our stockholders and the receipt of required regulatory approvals. </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Merger, for the three months ended April 4, 2026 we have incurred $11.2 million of costs, and expect to continue to incur financial advisory, legal, accounting, and other professional fees prior to the completion of the Merger, which could be significant.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Macroeconomic Conditions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global economic environment has experienced inflationary pressure, high interest rates, and geopolitical tensions. There continues to be uncertainty regarding international trade relations and trade policy, including those related to tariffs. The situation concerning the imposition of additional tariffs and trade restrictions by the U.S. and other jurisdictions continues to evolve, and we cannot be certain of the outcome, which could adversely impact demand for our products, costs, customers, suppliers, and general economic conditions. Continued geopolitical instability, including the ongoing war in Ukraine and the war in Iran and other conflicts in the Middle East, volatility in energy markets and recent increases in oil prices driven by geopolitical conflicts, the risk of inflation, slower GDP growth, or recession, and the weakening U.S. dollar, have added to the uncertainty. The extent of the impact of the macroeconomic and geopolitical environment on our operational and financial performance will depend on future developments, which are uncertain, but could materially affect our business, results of operations, access to sources of liquidity, and financial condition. The extent of the impact of macroeconomic conditions on our operational and financial performance will depend on future developments, their impact to the business of our suppliers and/or customers, and other items identified under “Risk Factors” below, all of which are uncertain and cannot be predicted. See the section entitled “Risk Factors” in Part II, Item 1A of the Form 10-Q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leader in secure, intelligent wireless technology for a more connected world. Our integrated hardware and software platform, intuitive development tools, industry leading ecosystem and robust support enable customers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We provide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We group our products as Industrial &amp; Commercial or Home &amp; Life based on the target markets they address.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fabless semiconductor company, we rely on third-party semiconductor fabricators in Asia, and to a lesser extent the United States and Europe, to manufacture the silicon wafers that reflect our integrated circuit (“IC”) designs. Each wafer contains numerous die, which are cut from the wafer to create a chip for an IC. We rely on third 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some of our ICs are designed for use in consumer products,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Current Period Highlights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increased $35.8 million in the recent quarter compared to the first quarter of fiscal 2025 due to increased revenues from our Industrial &amp; Commercial products and our Home &amp; Life products. Gross profit increased $29.2 million during the same period primarily as a result of the increase in revenues. Gross margin increased to 59.5% in the recent quarter compared to 55.0% in the first quarter of fiscal 2025 as our indirect and overhead expenses decreased as a percentage of revenues. Operating expenses increased by $14.2 million in the recent quarter compared to the first quarter of fiscal 2025 primarily due to costs related to the Merger. Operating loss in the recent quarter was $17.1 million compared to operating loss of $32.1 million in the first quarter of fiscal 2025. Refer to “Results of Operations” below for further discussion.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ended the first quarter of fiscal 2026 with $438.9 million in cash, cash equivalents, and short-term investments. Net cash provided by operating activities was $4.9 million during the current year three-month period. Accounts receivable were $77.1 million at April 4, 2026, representing 33 days sales outstanding (“DSO”). Inventory was $103.2 million at April 4, 2026, representing 107 days of inventory (“DOI”).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April 4, 2026,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who sell to our customers, Arrow Electronics and Edom Technology, each represented more than 10% of our revenues during the three months ended April 4,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percentage of our revenues derived from outside of the United States was 92% during the three months ended April 4, 2026. All of our revenues to date have been denominated in U.S. dollars. We believe that a majority of our revenues will continue to be derived from customers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describes the line items set forth in our Condensed Consolidated Statements of Operations:</w:t>
      </w:r>
    </w:p>
    <w:p>
      <w:pPr>
        <w:pStyle w:val="TextBody"/>
        <w:bidi w:val="0"/>
        <w:spacing w:lineRule="auto" w:line="288" w:before="240" w:after="283"/>
        <w:jc w:val="left"/>
        <w:rPr/>
      </w:pPr>
      <w:r>
        <w:rPr>
          <w:rFonts w:ascii="Times New Roman;serif" w:hAnsi="Times New Roman;serif"/>
          <w:b/>
          <w:color w:val="000000"/>
          <w:sz w:val="20"/>
        </w:rPr>
        <w:t>Revenues.</w:t>
      </w:r>
      <w:r>
        <w:rPr>
          <w:color w:val="000000"/>
        </w:rPr>
        <w:t xml:space="preserve"> </w:t>
      </w:r>
      <w:r>
        <w:rPr>
          <w:rFonts w:ascii="Times New Roman;serif" w:hAnsi="Times New Roman;serif"/>
          <w:b w:val="false"/>
          <w:color w:val="000000"/>
          <w:sz w:val="20"/>
        </w:rPr>
        <w:t>Revenues are generated predominately by sales of our products. Our revenues are subject to variation from period to period due to the volume of shipments made within a period, the mix of products we sell, and the prices we charge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Cost of Revenues.</w:t>
      </w:r>
      <w:r>
        <w:rPr>
          <w:color w:val="000000"/>
        </w:rPr>
        <w:t xml:space="preserve"> </w:t>
      </w:r>
      <w:r>
        <w:rPr>
          <w:rFonts w:ascii="Times New Roman;serif" w:hAnsi="Times New Roman;serif"/>
          <w:b w:val="false"/>
          <w:color w:val="000000"/>
          <w:sz w:val="20"/>
        </w:rPr>
        <w:t>Cost of revenues includes the cost of purchasing finished silicon wafers processed by independent foundries; costs associated with assembly, test and shipping of those products; costs of personnel and equipment associated with manufacturing support, logistics, and quality assurance; costs of royalties, other intellectual property license costs, and certain acquired intangible assets; and an allocated portion of our occupancy costs. Our gross margin fluctuates depending on product mix, manufacturing yields, inventory valuation adjustments, average selling prices, and other factors.</w:t>
      </w:r>
    </w:p>
    <w:p>
      <w:pPr>
        <w:pStyle w:val="TextBody"/>
        <w:bidi w:val="0"/>
        <w:spacing w:lineRule="auto" w:line="288" w:before="240" w:after="283"/>
        <w:jc w:val="left"/>
        <w:rPr/>
      </w:pPr>
      <w:r>
        <w:rPr>
          <w:rFonts w:ascii="Times New Roman;serif" w:hAnsi="Times New Roman;serif"/>
          <w:b/>
          <w:color w:val="000000"/>
          <w:sz w:val="20"/>
        </w:rPr>
        <w:t>Research and Development.</w:t>
      </w:r>
      <w:r>
        <w:rPr>
          <w:color w:val="000000"/>
        </w:rPr>
        <w:t xml:space="preserve"> </w:t>
      </w:r>
      <w:r>
        <w:rPr>
          <w:rFonts w:ascii="Times New Roman;serif" w:hAnsi="Times New Roman;serif"/>
          <w:b w:val="false"/>
          <w:color w:val="000000"/>
          <w:sz w:val="20"/>
        </w:rPr>
        <w:t>Research and development expense consists primarily of personnel-related expenses, including stock-based compensation, as 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pStyle w:val="TextBody"/>
        <w:bidi w:val="0"/>
        <w:spacing w:lineRule="auto" w:line="288" w:before="240" w:after="283"/>
        <w:jc w:val="left"/>
        <w:rPr/>
      </w:pPr>
      <w:r>
        <w:rPr>
          <w:rFonts w:ascii="Times New Roman;serif" w:hAnsi="Times New Roman;serif"/>
          <w:b/>
          <w:color w:val="000000"/>
          <w:sz w:val="20"/>
        </w:rPr>
        <w:t>Selling, General and Administrative.</w:t>
      </w:r>
      <w:r>
        <w:rPr>
          <w:color w:val="000000"/>
        </w:rPr>
        <w:t xml:space="preserve"> </w:t>
      </w:r>
      <w:r>
        <w:rPr>
          <w:rFonts w:ascii="Times New Roman;serif" w:hAnsi="Times New Roman;serif"/>
          <w:b w:val="false"/>
          <w:color w:val="000000"/>
          <w:sz w:val="20"/>
        </w:rPr>
        <w:t>Selling, general and administrative expense consists primarily of personnel-related expenses, including stock-based compensation, as well as an allocated portion of our occupancy costs, sales commissions to independent sales representatives, amortization of intangible assets, professional fees, legal fees, and promotional and marketing expenses.</w:t>
      </w:r>
    </w:p>
    <w:p>
      <w:pPr>
        <w:pStyle w:val="TextBody"/>
        <w:bidi w:val="0"/>
        <w:spacing w:lineRule="auto" w:line="288" w:before="240" w:after="283"/>
        <w:jc w:val="left"/>
        <w:rPr/>
      </w:pPr>
      <w:r>
        <w:rPr>
          <w:rFonts w:ascii="Times New Roman;serif" w:hAnsi="Times New Roman;serif"/>
          <w:b/>
          <w:color w:val="000000"/>
          <w:sz w:val="20"/>
        </w:rPr>
        <w:t>Interest Income and Other, Net.</w:t>
      </w:r>
      <w:r>
        <w:rPr>
          <w:color w:val="000000"/>
        </w:rPr>
        <w:t xml:space="preserve"> </w:t>
      </w:r>
      <w:r>
        <w:rPr>
          <w:rFonts w:ascii="Times New Roman;serif" w:hAnsi="Times New Roman;serif"/>
          <w:b w:val="false"/>
          <w:color w:val="000000"/>
          <w:sz w:val="20"/>
        </w:rPr>
        <w:t>Interest income and other, net reflects interest earned on our cash, cash equivalents and investment balances, foreign currency remeasurement adjustments, and other non-operating income and expenses.</w:t>
      </w:r>
    </w:p>
    <w:p>
      <w:pPr>
        <w:pStyle w:val="TextBody"/>
        <w:bidi w:val="0"/>
        <w:spacing w:lineRule="auto" w:line="288" w:before="240" w:after="283"/>
        <w:jc w:val="left"/>
        <w:rPr/>
      </w:pPr>
      <w:r>
        <w:rPr>
          <w:rFonts w:ascii="Times New Roman;serif" w:hAnsi="Times New Roman;serif"/>
          <w:b/>
          <w:color w:val="000000"/>
          <w:sz w:val="20"/>
        </w:rPr>
        <w:t>Interest Expense.</w:t>
      </w:r>
      <w:r>
        <w:rPr>
          <w:color w:val="000000"/>
        </w:rPr>
        <w:t xml:space="preserve"> </w:t>
      </w:r>
      <w:r>
        <w:rPr>
          <w:rFonts w:ascii="Times New Roman;serif" w:hAnsi="Times New Roman;serif"/>
          <w:b w:val="false"/>
          <w:color w:val="000000"/>
          <w:sz w:val="20"/>
        </w:rPr>
        <w:t>Interest expense consists of interest on our short and long-term obligations, our credit facility, and amortization of debt issuance costs.</w:t>
      </w:r>
    </w:p>
    <w:p>
      <w:pPr>
        <w:pStyle w:val="TextBody"/>
        <w:bidi w:val="0"/>
        <w:spacing w:lineRule="auto" w:line="288" w:before="240" w:after="283"/>
        <w:jc w:val="left"/>
        <w:rPr/>
      </w:pPr>
      <w:r>
        <w:rPr>
          <w:rFonts w:ascii="Times New Roman;serif" w:hAnsi="Times New Roman;serif"/>
          <w:b/>
          <w:color w:val="000000"/>
          <w:sz w:val="20"/>
        </w:rPr>
        <w:t>Provision for Income Taxes.</w:t>
      </w:r>
      <w:r>
        <w:rPr>
          <w:color w:val="000000"/>
        </w:rPr>
        <w:t xml:space="preserve"> </w:t>
      </w:r>
      <w:r>
        <w:rPr>
          <w:rFonts w:ascii="Times New Roman;serif" w:hAnsi="Times New Roman;serif"/>
          <w:b w:val="false"/>
          <w:color w:val="000000"/>
          <w:sz w:val="20"/>
        </w:rPr>
        <w:t xml:space="preserve">Provision for income taxes includes both domestic and foreign income taxes at the applicable tax rates adjusted for non-deductible expenses, research and development tax credits, deemed foreign income inclusions, and other permanent differences. See Note 11, </w:t>
      </w:r>
      <w:r>
        <w:rPr>
          <w:rFonts w:ascii="Times New Roman;serif" w:hAnsi="Times New Roman;serif"/>
          <w:b w:val="false"/>
          <w:i/>
          <w:color w:val="000000"/>
          <w:sz w:val="20"/>
        </w:rPr>
        <w:t>Income Taxes</w:t>
      </w:r>
      <w:r>
        <w:rPr>
          <w:rFonts w:ascii="Times New Roman;serif" w:hAnsi="Times New Roman;serif"/>
          <w:b w:val="false"/>
          <w:color w:val="000000"/>
          <w:sz w:val="20"/>
        </w:rPr>
        <w:t>, to the Condensed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as a percentage of revenues for the periods indicated:</w:t>
      </w:r>
    </w:p>
    <w:tbl>
      <w:tblPr>
        <w:tblW w:w="5801" w:type="dxa"/>
        <w:jc w:val="left"/>
        <w:tblInd w:w="0" w:type="dxa"/>
        <w:tblLayout w:type="fixed"/>
        <w:tblCellMar>
          <w:top w:w="28" w:type="dxa"/>
          <w:left w:w="28" w:type="dxa"/>
          <w:bottom w:w="28" w:type="dxa"/>
          <w:right w:w="28" w:type="dxa"/>
        </w:tblCellMar>
      </w:tblPr>
      <w:tblGrid>
        <w:gridCol w:w="1072"/>
        <w:gridCol w:w="938"/>
        <w:gridCol w:w="944"/>
        <w:gridCol w:w="308"/>
        <w:gridCol w:w="308"/>
        <w:gridCol w:w="366"/>
        <w:gridCol w:w="134"/>
        <w:gridCol w:w="134"/>
        <w:gridCol w:w="134"/>
        <w:gridCol w:w="308"/>
        <w:gridCol w:w="308"/>
        <w:gridCol w:w="366"/>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Revenues</w:t>
      </w:r>
    </w:p>
    <w:tbl>
      <w:tblPr>
        <w:tblW w:w="7936" w:type="dxa"/>
        <w:jc w:val="left"/>
        <w:tblInd w:w="0" w:type="dxa"/>
        <w:tblLayout w:type="fixed"/>
        <w:tblCellMar>
          <w:top w:w="28" w:type="dxa"/>
          <w:left w:w="28" w:type="dxa"/>
          <w:bottom w:w="28" w:type="dxa"/>
          <w:right w:w="28" w:type="dxa"/>
        </w:tblCellMar>
      </w:tblPr>
      <w:tblGrid>
        <w:gridCol w:w="771"/>
        <w:gridCol w:w="677"/>
        <w:gridCol w:w="682"/>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55"/>
        <w:gridCol w:w="256"/>
        <w:gridCol w:w="367"/>
        <w:gridCol w:w="109"/>
        <w:gridCol w:w="109"/>
        <w:gridCol w:w="109"/>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&amp;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Home &amp;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revenues in the recent three-month period was due to increased revenues of $32.0 million from our Industrial &amp; Commercial products and increased revenues of $3.8 million from our Home &amp; Life products. Revenues increased in the recent three-month periods as a result of increases in unit volumes of our products relative to the prior year. The average selling prices of our products may fluctuate significantly from period to period due to changes in product mix, pricing decisions and other factors. In general, as our products become more mature, we expect to experience decreases in average selling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Profit</w:t>
      </w:r>
    </w:p>
    <w:tbl>
      <w:tblPr>
        <w:tblW w:w="5948" w:type="dxa"/>
        <w:jc w:val="left"/>
        <w:tblInd w:w="0" w:type="dxa"/>
        <w:tblLayout w:type="fixed"/>
        <w:tblCellMar>
          <w:top w:w="28" w:type="dxa"/>
          <w:left w:w="28" w:type="dxa"/>
          <w:bottom w:w="28" w:type="dxa"/>
          <w:right w:w="28" w:type="dxa"/>
        </w:tblCellMar>
      </w:tblPr>
      <w:tblGrid>
        <w:gridCol w:w="429"/>
        <w:gridCol w:w="377"/>
        <w:gridCol w:w="378"/>
        <w:gridCol w:w="109"/>
        <w:gridCol w:w="109"/>
        <w:gridCol w:w="109"/>
        <w:gridCol w:w="211"/>
        <w:gridCol w:w="616"/>
        <w:gridCol w:w="271"/>
        <w:gridCol w:w="109"/>
        <w:gridCol w:w="109"/>
        <w:gridCol w:w="109"/>
        <w:gridCol w:w="211"/>
        <w:gridCol w:w="511"/>
        <w:gridCol w:w="271"/>
        <w:gridCol w:w="109"/>
        <w:gridCol w:w="109"/>
        <w:gridCol w:w="109"/>
        <w:gridCol w:w="211"/>
        <w:gridCol w:w="511"/>
        <w:gridCol w:w="271"/>
        <w:gridCol w:w="109"/>
        <w:gridCol w:w="109"/>
        <w:gridCol w:w="109"/>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increased during the recent three-month period primarily as a result of increases in revenues in the periods. Gross margin increased as our indirect and overhead expenses decreased as a percentage of revenues in the recent three-month period as a result of the increase in revenues.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experience variations in the average selling prices of certain of our products. Increases in average selling prices may occur during periods of increased demand, but such demand may be short-lived and could be accompanied by higher product costs. Declines in average selling prices create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Research and Development</w:t>
      </w:r>
    </w:p>
    <w:tbl>
      <w:tblPr>
        <w:tblW w:w="8019" w:type="dxa"/>
        <w:jc w:val="left"/>
        <w:tblInd w:w="0" w:type="dxa"/>
        <w:tblLayout w:type="fixed"/>
        <w:tblCellMar>
          <w:top w:w="28" w:type="dxa"/>
          <w:left w:w="28" w:type="dxa"/>
          <w:bottom w:w="28" w:type="dxa"/>
          <w:right w:w="28" w:type="dxa"/>
        </w:tblCellMar>
      </w:tblPr>
      <w:tblGrid>
        <w:gridCol w:w="835"/>
        <w:gridCol w:w="734"/>
        <w:gridCol w:w="740"/>
        <w:gridCol w:w="109"/>
        <w:gridCol w:w="109"/>
        <w:gridCol w:w="109"/>
        <w:gridCol w:w="211"/>
        <w:gridCol w:w="511"/>
        <w:gridCol w:w="271"/>
        <w:gridCol w:w="109"/>
        <w:gridCol w:w="109"/>
        <w:gridCol w:w="109"/>
        <w:gridCol w:w="211"/>
        <w:gridCol w:w="511"/>
        <w:gridCol w:w="271"/>
        <w:gridCol w:w="109"/>
        <w:gridCol w:w="109"/>
        <w:gridCol w:w="109"/>
        <w:gridCol w:w="211"/>
        <w:gridCol w:w="406"/>
        <w:gridCol w:w="109"/>
        <w:gridCol w:w="109"/>
        <w:gridCol w:w="109"/>
        <w:gridCol w:w="109"/>
        <w:gridCol w:w="203"/>
        <w:gridCol w:w="203"/>
        <w:gridCol w:w="367"/>
        <w:gridCol w:w="109"/>
        <w:gridCol w:w="109"/>
        <w:gridCol w:w="109"/>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in the recent three-month period increased, with increases of $1.7 million for new product introduction costs, $1.0 million from lower government incentives, and $0.6 million for IT-related costs, partially offset by a decrease of $3.1 million for amortization of intangible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w:t>
      </w:r>
    </w:p>
    <w:tbl>
      <w:tblPr>
        <w:tblW w:w="8874" w:type="dxa"/>
        <w:jc w:val="left"/>
        <w:tblInd w:w="0" w:type="dxa"/>
        <w:tblLayout w:type="fixed"/>
        <w:tblCellMar>
          <w:top w:w="28" w:type="dxa"/>
          <w:left w:w="28" w:type="dxa"/>
          <w:bottom w:w="28" w:type="dxa"/>
          <w:right w:w="28" w:type="dxa"/>
        </w:tblCellMar>
      </w:tblPr>
      <w:tblGrid>
        <w:gridCol w:w="1069"/>
        <w:gridCol w:w="938"/>
        <w:gridCol w:w="947"/>
        <w:gridCol w:w="109"/>
        <w:gridCol w:w="109"/>
        <w:gridCol w:w="109"/>
        <w:gridCol w:w="211"/>
        <w:gridCol w:w="511"/>
        <w:gridCol w:w="271"/>
        <w:gridCol w:w="109"/>
        <w:gridCol w:w="109"/>
        <w:gridCol w:w="109"/>
        <w:gridCol w:w="211"/>
        <w:gridCol w:w="511"/>
        <w:gridCol w:w="271"/>
        <w:gridCol w:w="109"/>
        <w:gridCol w:w="109"/>
        <w:gridCol w:w="109"/>
        <w:gridCol w:w="211"/>
        <w:gridCol w:w="511"/>
        <w:gridCol w:w="109"/>
        <w:gridCol w:w="109"/>
        <w:gridCol w:w="109"/>
        <w:gridCol w:w="109"/>
        <w:gridCol w:w="255"/>
        <w:gridCol w:w="256"/>
        <w:gridCol w:w="367"/>
        <w:gridCol w:w="109"/>
        <w:gridCol w:w="109"/>
        <w:gridCol w:w="109"/>
        <w:gridCol w:w="109"/>
        <w:gridCol w:w="109"/>
        <w:gridCol w:w="109"/>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 in the recent three-month period was primarily due to $11.2 million from costs incurred due to the Merger, and a $2.9 million increase in personnel-related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Income and Other,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and other, net for the three months ended April 4, 2026 was $3.6 million, compared to $3.8 million for the three months ended April 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months ended April 4, 2026 was $0.2 million, compared to $0.3 million for the three months ended April 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bl>
      <w:tblPr>
        <w:tblW w:w="6461" w:type="dxa"/>
        <w:jc w:val="left"/>
        <w:tblInd w:w="0" w:type="dxa"/>
        <w:tblLayout w:type="fixed"/>
        <w:tblCellMar>
          <w:top w:w="28" w:type="dxa"/>
          <w:left w:w="28" w:type="dxa"/>
          <w:bottom w:w="28" w:type="dxa"/>
          <w:right w:w="28" w:type="dxa"/>
        </w:tblCellMar>
      </w:tblPr>
      <w:tblGrid>
        <w:gridCol w:w="826"/>
        <w:gridCol w:w="725"/>
        <w:gridCol w:w="728"/>
        <w:gridCol w:w="109"/>
        <w:gridCol w:w="109"/>
        <w:gridCol w:w="109"/>
        <w:gridCol w:w="211"/>
        <w:gridCol w:w="406"/>
        <w:gridCol w:w="271"/>
        <w:gridCol w:w="109"/>
        <w:gridCol w:w="109"/>
        <w:gridCol w:w="109"/>
        <w:gridCol w:w="211"/>
        <w:gridCol w:w="406"/>
        <w:gridCol w:w="271"/>
        <w:gridCol w:w="109"/>
        <w:gridCol w:w="109"/>
        <w:gridCol w:w="109"/>
        <w:gridCol w:w="211"/>
        <w:gridCol w:w="406"/>
        <w:gridCol w:w="109"/>
        <w:gridCol w:w="109"/>
        <w:gridCol w:w="109"/>
        <w:gridCol w:w="109"/>
        <w:gridCol w:w="109"/>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the effective tax rate for the three months ended April 4, 2026 is primarily due to a decrease in pre-tax book loss, as the impact of permanent items is relatively greater when the pre-tax loss is smaller.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as of April 4, 2026 consisted of $438.9 million in cash, cash equivalents and short-term investments, of which $250.3 million was held by our U.S. entities. The remaining balance was held by our foreign subsidiaries. Our cash equivalents and short-term investments consisted of government debt securities, which include U.S. government securities; time deposits; and money market funds.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$4.9 million during the three months ended April 4, 2026, compared to net cash provided of $48.1 million during the three months ended April 5, 2025. Operating cash flows during the three months ended April 4, 2026 reflect our net loss of $15.9 million, adjustments of $30.6 million for depreciation, amortization, stock-based compensation, and deferred income taxes, and a net cash outflow of $9.7 million due to changes in our operating assets and liabilities.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increased to $77.1 million at April 4, 2026 from $64.5 million at January 3, 2026. The increase in accounts receivable resulted primarily from normal variations in the timing of collections and billings. Our DSO was 33 days at April 4, 2026 and 28 days at January 3,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increased to $103.2 million at April 4, 2026 from $95.6 million at January 3, 2026. Our inventory levels will vary based on the availability of supply and the impact of variations between forecasted demand used for purchasing inventory and actual demand. Our DOI was 107 days at April 4, 2026 and 113 days at January 3,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$14.9 million during the three months ended April 4, 2026, compared to net cash used of $3.9 million during the three months ended April 5, 2025. The increase in cash inflows was principally due to an increase in cash provided by net purchases, sales, and maturities of marketable securities of $22.5 million and the receipt of $1.3 million of proceeds from capital-related government incentives in the current period. Purchases of property and equipment increased $5.0 million during the three months ended April 4, 2026 compared to the three months ended April 5,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$1.0 million during the three months ended April 4, 2026, compared to $1.0 million during the three months ended April 5,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April 4, 2026, we had a $400 million revolving credit facility. We have an option to increase the size of the borrowing capacity of the revolving credit facility by up to the greater of an aggregate of $250 million and 100% of EBITDA, plus an amount that would not cause a secured net leverage ratio to exceed 3.50 to 1.00, subject to certain conditions. The credit facility contains various conditions, covenants, and representations with which we must be in compliance in order to borrow funds, including financial covenants that we must maintain a consolidated net leverage ratio (funded indebtedness less cash and cash equivalents up to $750 million and divided by EBITDA) of no more than 4.25 to 1, and a minimum interest coverage ratio (EBITDA/interest payments) of no less than 2.50 to 1. As of April 4, 2026, we were in compliance with all of the covenants and no amounts were outstanding on the revolving credit facility.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Capital Requirements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credit under our credit facility, and cash generated from operations are sufficient to meet our short-term (i.e., over at least the next twelve months) and long-term capital requirements, although we could be required, or could elect, to seek additional funding prior to that time. We may enter into acquisitions or strategic arrangements in the future which also could require us to seek additional equity or debt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the Management’s Discussion and Analysis of Financial Condition and Results of Operations section of our Form 10-K for the fiscal year ended January 3, 2026. There have been no material subsequent changes to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investment portfolio includes cash, cash equivalents and short-term investments. Our main investment objective is the preservation of investment capital. Our interest income is sensitive to changes in the general level of U.S. interest rates. A 100 basis point decline in yield on our investment portfolio holdings as of April 4, 2026 would decrease our future annual interest income by approximately $3.4 million. We believe that our investment policy, which defines the duration, concentration, and minimum credit quality of the allowable investments, meets our investment objectives.</w:t>
      </w:r>
    </w:p>
    <w:p>
      <w:pPr>
        <w:pStyle w:val="TextBody"/>
        <w:bidi w:val="0"/>
        <w:spacing w:lineRule="auto" w:line="288" w:before="240" w:after="283"/>
        <w:ind w:left="0" w:right="0" w:firstLine="45"/>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fluctuations in the normal course of our business, including through our credit facility. The interest rate on the credit facility consists of a variable-rate of interest and an applicable margin. While we have drawn from the credit facility in the past, we had no borrowings as of April 4, 2026. If we borrow from the credit facility in the future, we will again be exposed to interest rate fluctuations.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Condensed Consolidated Statements of Operations. We may use foreign currency forward contracts to manage exposure to foreign exchange risk. Gains and losses on foreign currency forward contracts designated as hedging instruments are recognized in earnings in the same period during which the hedged transaction is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website address is www.silabs.com. Our annual report on Form 10-K, quarterly reports on Form 10-Q, current reports on Form 8-K and amendments to those reports filed or furnished pursuant to Section 13(a) or 15(d) of the Securities Exchange Act of 1934, as amended, are available through the investor relations page of our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related to quantitative and qualitative disclosures regarding market risk is set forth in Management’s Discussion and Analysis of Financial Condition and Results of Operations under Item 2 above. Such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April 4, 2026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controls during the fiscal quarter ended April 4, 2026 that materially affected, or is reasonably likely to materially affect, our internal controls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Information regarding legal proceedings is provided in Note 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Condensed Consolidated Financial Statements. Such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Risks Related to the Proposed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complete the proposed Merger within the time frame we anticipate, or at all, which could have an adverse effect on our business, financial condition, results of operations, cash flows and stock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Uncertainties associated with the Merger could adversely affect our business, results of operations, cash flows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Merger Agreement contains provisions that limit our ability to pursue alternatives to the Merger and that could deter or discourage a competing acquirer from making a favorable alternative transaction proposal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While the Merger Agreement is in effect, we are subject to restrictions on our business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Lawsuits arising in connection with the Merger could be costly, delay or prevent completion of the Merger, divert management’s attention and otherwise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Global Business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the victim of business disruptions and security breaches, including cyber-attacks, which could lead to liability or could damage our reputation and financial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subject to information technology failures that could damage our reputation, business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financial condition, and results of operations could be materially and adversely affected by global or industry-specific shortages of memory components or other key components necessary for our customers’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within the numerous markets we target may reduce sales of our products and reduce our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develop or acquire new and enhanced products that achieve market acceptance in a timely manner, our operating results and competitive position could be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limited resources compared to some of our current and potential competitors and we may not be able to compete effectively and increase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financial condition, and results of operations could be materially and adversely affected by tariffs, trade restrictions, and other barriers to international trade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on third parties to manufacture, assemble and test our products, which subjects us to risks of disruptions in our supply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a global company, which subjects us to additional business risks including logistical and financial complexity, supply disruption, political instability and currency fluctuations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the cyclical nature of the semiconductor industry, which has been subject to significant fluctuations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maintain our historical growth and may experience significant period-to-period fluctuations in our revenues and operating results, which may result in volatility in our stock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manage growth could materially and adversely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key personnel to manage our business effectively in a rapidly changing market, and if we are unable to retain our current personnel and hire additional personnel, our ability to develop and successfully market our products could be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acquisitions we make could disrupt our business and harm our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average selling prices of our products could decrease rapidly which may negatively impact our revenues and gross profit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manage our distribution channel relationships could impede our future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do not have long-term commitments from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increased inventory risks and costs because we build our products based on forecasts provided by customers before receiving purchase orders for the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are complex and may contain errors which could lead to liability, an increase in our costs and/or a reduction in our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customers require our products to undergo a lengthy and expensive qualification process without any assurance of product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risks relating to product concentration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dispositions could harm our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customers to support our products, and some of our customers offer competing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privacy and data security/protection laws could have an adverse effect on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must conform to industry standards and technology in order to be accepted by end users in our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material weaknesses or other deficiencies or otherwise failing to maintain an effective system of internal controls, including disclosure controls and procedures, could result in material misstatements of our financial statements or cause us to fail to meet our reporting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Intellectual Property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litigation over intellectual property in our industry may cause us to become involved in costly and lengthy litigation which could adversely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unable to protect our intellectual property, which would negatively affect our ability to compete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Liquidity and Credit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in the financial services industry could adversely affect our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credit risks related to our accounts receivable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borrowings under our credit agreement or other indebtedness could adversely affect our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could seek to raise additional debt or equity capital in the future, but additional capital may not be available on terms acceptable to us, or at all</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Stock and Governance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stock price may be volatile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Provisions in our charter documents and Delaware law could prevent, delay or impede a change in control of us and may reduce the market price of our common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Risks Related to the Proposed Merger</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may not complete the proposed Merger within the time frame we anticipate, or at all, which could have an adverse effect on our business, financial condition, results of operations, cash flows and stock price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4, 2026, we entered into the Merger Agreement with Parent and Merger Subsidiary, pursuant to which Merger Subsidiary will be merged with and into us, with us continuing as the surviving company and a wholly owned subsidiary of Parent. If the Merger is completed, we will become a privately held company, meaning that our common stock will be delisted from the NASDAQ National Market and deregistered under the Securities Exchange Act of 1934. Completion of the Merger is subject to a number of closing conditions, including obtaining approval of our stockholders at a special meeting of stockholders, which we obtained on April 30, 2026, and the receipt of required regulatory approvals. The failure to satisfy the remaining closing conditions could jeopardize or delay the consummation of the Merger.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party’s obligation to consummate the Merger is also subject to the accuracy of the representations and warranties of the other party (subject to certain materiality qualifications) and the performance in all material respects of the other party’s covenants under the Merger Agreement, including, with respect to us, covenants regarding operation of our business prior to closing. In addition, the Merger Agreement may be terminated under certain specified circumstances. Certain conditions to the completion of the pending Merger are not within our control, and we cannot predict when or if these conditions will be satisfied (or waived, as applicable). As a result, we cannot assure you that the Merger will be completed.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Merger is not completed within the expected time frame, or at all, we may be subject to a number of material risks. To the extent that the current market price of our common stock reflects an assumption that the Merger will be completed, the price of our common stock could decrease if the Merger is not completed and stockholders may not recover their investment or receive a price for their shares of our common stock similar to what has been offered under the Merger Agreement. Further, investor confidence in us could decline, and stockholder litigation could be brought against us. Additionally, we may be required to pay a termination fee under certain circumstances that give rise to a termination of the Merger Agreement.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have incurred, and will continue to incur, significant costs, expenses and fees for professional services and other transaction costs in connection with the Merger, including for activities that we would have not undertaken other than to complete the Merger. As a result, to the extent the Merger is not completed, we will receive little or no benefit from incurring these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if successfully completed, there are certain risks to our stockholders from the Merger, including: the amount of cash per outstanding share of our common stock to be paid under the Merger Agreement is fixed and will not be adjusted for changes in our business, assets, liabilities, prospects, outlook, financial condition or operating results or in the event of any change in the market price of, analyst estimates of, or projections relating to, our common stock; receipt of the all-cash per share Merger consideration under the Merger Agreement is taxable to stockholders that are treated as U.S. holders for U.S. federal income tax purposes; and if the Merger is completed, our stockholders will forego the opportunity to realize the potential long-term value of the successful execution of our current business strategy as an independent company.</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Uncertainties associated with the Merger could adversely affect our business, results of operations, cash flows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announcement and pendency of the Merger, as well as any delays in the expected timeframe, could cause disruption in our business and create uncertainties, which could have an adverse effect on our business, results of operations, cash flows and financial condition, regardless of whether the Merger is completed. These risks and uncertainties include, but are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possibility that our relationship with suppliers, customers and employees could be adversely affected, including if our suppliers, customers or others attempt to negotiate changes in existing business relationships, consider entering into business relationships with parties other than us, delay or defer decisions concerning their business with us, or terminate their existing business relationships with us during the pendency of the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uncertainties caused by any negative sentiment in the marketplace with respect to the Merger, which could adversely impact investor confidence in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diversion of a significant amount of management time and resources toward the completion of the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distraction of our current employees as a result of the Merger, which could result in a decline in their productivity or cause distractions in the workplace;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being subject to certain restrictions on the conduct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possibly foregoing certain business opportunities that we might otherwise pursue absent the pending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attracting and retaining key employees due to uncertainties related to the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impact of costs related to completion of the Merger;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developments beyond our control, including, but not limited to, changes in domestic or global economic conditions that may affect the timing or success of the Merger.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adverse effects of the pendency of the Merger could be exacerbated by any delays in completion of the Merger or termination of the Merger Agreement. As a result, there can be no assurance that our business, results of operations, cash flows and financial condition will not be adversely affected, as compared to prior to the announcement of the Merger Agreement.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The Merger Agreement contains provisions that limit our ability to pursue alternatives to the Merger and that could deter or discourage a competing acquirer from making a favorable alternative transaction proposal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Merger Agreement, we are subject to “no-shop” restrictions and are not permitted, subject to certain exceptions set forth in the Merger Agreement, to initiate, solicit or knowingly encourage or facilitate any inquiries or the making of any proposal or offer by or with a third party with respect to an acquisition proposal and to furnish nonpublic information to, or engage in discussions or negotiations with, a third party interested in pursuing an alternative transaction. Further, our board of directors is required to recommend that our stockholders vote in favor of the Merger, subject to exceptions for superior proposals and other situations where failure to effect a recommendation change would be inconsistent with the board of directors’ fiduciary duties. Upon the termination of the Merger Agreement under specified circumstances, including, among others, the termination by the Parent in the event of a Change of Recommendation (as defined in the Merger Agreement) by our board of directors, we would be required to pay Parent a termination fee of $259 million. Such provisions of the Merger Agreement could discourage or deter a third party that may be willing to pay more than Parent for our outstanding common stock from considering or proposing such an acquisition us.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While the Merger Agreement is in effect, we are subject to restrictions on our business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we are subject to restrictions on our business activities, including, among other things, restrictions on our ability to pay dividends; acquire other businesses and assets; dispose of our assets; enter into or materially modify certain contracts; repurchase, adjust the terms of or issue securities; make certain capital expenditures; settle certain legal actions; take certain actions relating to intellectual property; take certain action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 amend our organizational documents; and incur certain indebtedness. Because of these restrictions, we may be prevented from taking certain actions with respect to the conduct of our business that we might otherwise have taken if not for the Merger Agreement, including responding effectively and/or timely to competitive pressures and industry developments, which could have a material adverse effect on our business, results of operations, cash flows and financial condition.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Lawsuits arising in connection with the Merger could be costly, delay or prevent completion of the Merger, divert management’s attention and otherwise adversely affect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Lawsuits relating to the Merger filed against us and/or our directors and officers, including by our stockholders, may be time-consuming and expensive and may distract our management from running the day-to-day operations of our business. Although litigation is common in connection with acquisitions of public companies, regardless of any merits related to the underlying acquisition, the outcome of any litigation cannot be assured and could delay or prevent completion of the Merger. If the Merger is not consummated for any reason, litigation could be filed in connection with the failure to consummate the Merger.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fees and costs of defense, including costs associated with the indemnification of directors and officers, and other liabilities that may be incurred in connection with lawsuits could have a material adverse effect on our business, results of operations, cash flows and financial condition. Any litigation related to the Merger may also result in negative publicity or an unfavorable impression of us, which could adversely affect the price of our common stock, impair our ability to recruit or retain employees, damage our relationships with our business partners, or otherwise harm our operations and financial performance.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Global Business Risks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may be the victim of business disruptions and security breaches, including cyber-attacks, which could lead to liability or could damage our reputation and financial results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technology system and/or network disruptions, regardless of the cause, but including acts of sabotage, error, or other actions, could harm our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 sometimes successful. These attacks may be due to security breaches, employee error, theft, malfeasance, phishing schemes, ransomware, faulty password or data security management, or other irregularities. Additionally, we use artificial intelligence (“AI”)-driven efficiencies in our software development and customer support services. Our use of AI may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predict at this time, resulting in greater risks of security incidents and breaches.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have been and are expected to continue to be significant. While we have dedicated resources to privacy and security incident response capabilities, our response process may not be adequate, may fail to accurately assess the severity of an incident, may not be fast enough to prevent or limit harm, or may fail to sufficiently remediate an incident. Attempted or successful attacks against our products and services could damage our reputation with customers or users and reduce demand for our products and services. Additionally, there is an increased risk that we may experience cybersecurity-related events such as phishing attacks and other security challenges as a result of hybrid working arrangements and employees and our service providers working remotely.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risk of cyber-attacks has increased in recent years in connection with geopolitical events, and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ransomware, disruption, and destruction. Russia’s invasion of Ukraine in 2022, the resulting sanctions imposed by the United States and its allies on Russia, and the current war in Iran have increased the likelihood of cyber-attacks and/or security breaches.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may be subject to information technology failures that could damage our reputation, business operations and financial condition</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information technology for the effective operation of our business. Our systems are subject to damage or interruption from a number of potential sources, including natural disasters, accidents, power disruptions, telecommunications failures, acts of terrorism or war, computer viruses, theft, physical or electronic break-ins, cyber-attacks, sabotage, vandalism, or similar events or disruptions, including those described in the preceding risk factor. Our security measures may not prevent or detect such security breaches. Any such compromise of our information security could 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 and financial results. Additionally, a successful cyber-attack against one of these third parties’ information technology systems may disrupt our supply chain.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business, financial condition, and results of operations could be materially and adversely affected by global or industry-specific shortages of memory components or other key components necessary for our customers’ products</w:t>
      </w:r>
    </w:p>
    <w:p>
      <w:pPr>
        <w:pStyle w:val="TextBody"/>
        <w:bidi w:val="0"/>
        <w:spacing w:lineRule="auto" w:line="288" w:before="0" w:after="0"/>
        <w:ind w:left="0" w:right="0" w:firstLine="360"/>
        <w:jc w:val="left"/>
        <w:rPr/>
      </w:pPr>
      <w:r>
        <w:rPr>
          <w:rFonts w:ascii="Times New Roman;serif" w:hAnsi="Times New Roman;serif"/>
          <w:b w:val="false"/>
          <w:color w:val="000000"/>
          <w:sz w:val="20"/>
        </w:rPr>
        <w:t>Our customers’ products often incorporate third-party memory components, such as DRAM or NAND, that are sourced from a limited number of suppliers. The memory market has in the past experienced supply imbalances, capacity constraints, and pricing volatility, and the industry is currently experiencing a global shortage of certain memory components as a result of AI-driven demand. These conditions are likely to impact our customers and may limit their ability to manufacture their end products or may cause them to adjust production schedules, delay product launches, or revise demand forecasts, which in turn could lead them to reduce, delay, or cancel orders for our products, even when demand for their end products remains strong. The current shortage and resulting price increase for memory components also may lead our customers to increase prices of their end products, which could lead to decreased demand those products, negatively impacting orders for our products in the longer term. In addition, uncertainty regarding the availability or pricing of memory components or other key components may impair our ability to accurately forecast demand, manage inventory levels, or plan production. Any of these factors could adversely affect our business, financial condition, and results of operations</w:t>
      </w:r>
      <w:r>
        <w:rPr>
          <w:rFonts w:ascii="Aptos;sans-serif" w:hAnsi="Aptos;sans-serif"/>
          <w:b w:val="false"/>
          <w:color w:val="000000"/>
          <w:sz w:val="20"/>
        </w:rPr>
        <w: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Competition within the numerous markets we target may reduce sales of our products and reduce our market share</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markets for semiconductors in general, and for mixed-signal products in particular, are intensely competitive. We expect that the market for our products will continually evolve and will be subject to rapid technological change. For example, new products and disruptive technologies are being developed, and companies with which we compete have implemented AI strategies for products and service offerings. This rapid pace of technological change can create opportunities for our competitors and harm our competitiveness in the market if our products do not evolve or we are unable to effectively keep up with such changes. In addition, as we target and supply products to numerous markets and applications, we face competition from a relatively large number of competitors. We compete with Espressif, Infineon, MediaTek, Microchip, Nordic Semiconductor, NXP, Qualcomm, Renesas, STMicroelectronics, Synaptics, Telink, Texas Instruments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If we are unable to develop or acquire new and enhanced products that achieve market acceptance in a timely manner, our operating results and competitive position could be harmed</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Requirements of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Accurate prediction of market and technical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Timely completion and introduction of new designs;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Timely qualification and certification of our products for use in our customers’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Commercial acceptance and volume production of the products into which our ICs will be incorporated;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foundry, assembly and test capacity;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Achievement of high manufacturing yields;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Quality, price, performance, power use and size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quality, price and performance of competing products and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customer service, application support capabilities and responsiveness;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Successful development of our relationships with existing and potential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Technology, industry standards or end-user preferences;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Cooperation of third-party software providers and our semiconductor vendors to support our chips within a system.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The IoT market depends on the ongoing evolution and adoption of industry standards; fragmentation across the ecosystems/implementations could slow adoption.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the three months ended April 4, 2026 was $88.6 million, or 41.5%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have limited resources compared to some of our current and potential competitors and we may not be able to compete effectively and increase market share</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pPr>
      <w:r>
        <w:rPr>
          <w:rFonts w:ascii="Times New Roman;serif" w:hAnsi="Times New Roman;serif"/>
          <w:b w:val="false"/>
          <w:color w:val="000000"/>
          <w:sz w:val="20"/>
        </w:rPr>
        <w:t>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See the risk factor entitled “</w:t>
      </w:r>
      <w:r>
        <w:rPr>
          <w:rFonts w:ascii="Times New Roman;serif" w:hAnsi="Times New Roman;serif"/>
          <w:b w:val="false"/>
          <w:i/>
          <w:color w:val="000000"/>
          <w:sz w:val="20"/>
        </w:rPr>
        <w:t>Our business, financial condition, and results of operations could be materially and adversely affected by tariffs, trade restrictions, and other barriers to international trade.</w:t>
      </w:r>
      <w:r>
        <w:rPr>
          <w:color w:val="000000"/>
        </w:rPr>
        <w:t xml:space="preserve">” </w:t>
      </w:r>
      <w:r>
        <w:rPr>
          <w:rFonts w:ascii="Times New Roman;serif" w:hAnsi="Times New Roman;serif"/>
          <w:b w:val="false"/>
          <w:color w:val="000000"/>
          <w:sz w:val="20"/>
        </w:rPr>
        <w:t>Furthermore, our current or potential competitors may be acquired by third parties with greater available resources and the ability to initiate or withstand substantial price competition, which may include price concessions, delayed payment terms, financing terms, or other terms and conditions that are more enticing to potential customers.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and the current administration’s creation of the US Investment Accelerator and its negotiations of grants under the CHIPS Act may make the availability of any such incentives even less certain. If our competitors can benefit from such government incentives and we cannot, it could strengthen our competitors’ relative position and have a material adverse effect on our reputation and business.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business, financial condition, and results of operations could be materially and adversely affected by tariffs, trade restrictions, and other barriers to international trade</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Restrictions on international trade, such as tariffs and other controls on imports or exports of goods and technology can adversely affect our business and supply chain. These trade restrictions may impact the cost and availability of raw materials, components, and finished goods, which could lead to supply chain disruptions, increased costs, and lower margins. There is currently significant uncertainty about the future relationship between the U.S. and various other countries with respect to trade policies and tariffs. Export restrictions imposed by the U.S. government, including the addition of licensing requirements by the United States Department of Commerce’s Bureau of Industry and Security (“BIS”) through the addition of companies to the BIS Entity List, could require us to suspend our business with certain entities if we conclude or are notified by the U.S. government that such business presents a risk of noncompliance with U.S. regulations. The global trade situation has been highly dynamic, and we cannot predict what actions may be taken with respect to tariffs or trade relations, what products may be subject to such actions, or what actions may be taken by other countries in response. In addition to the possibility of new or modified tariffs, sector-based trade measures may be implemented. The rapid and fluctuating changes in global trade policies have contributed to greater market volatility and general economic uncertainties, including the risk of inflation and recession, and could adversely affect customer demand, delay purchasing decisions, or limit our ability to operate efficiently in key markets. If we are unable to mitigate any negative impacts of tariffs, trade restrictions, or related market volatility through pricing adjustments, operational efficiencies, or alternative sourcing strategies, our business, financial condition, and results of operations could be materially and adversely affected.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rely on third parties to manufacture, assemble and test our products, which subjects us to risks of disruptions in our supply chain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our own wafer fab manufacturing facilities. Therefore, we rely on third-party vendors to manufacture the products we design. We also currently rely on third-party assembly subcontractors in Asia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foundry, assembly or test capacity from our third-party subcontractors to meet our customers’ delivery requirements even if we adequately forecast customer demand.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significant risks associated with relying on these third-party foundries and subcontractors,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by us, our customers or their end customers to qualify a selected supplier;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to our suppliers’ operations due to geopolitical changes, including risks related to tensions between China and Taiwan;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insolvency of the third-party subcontractors;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Reduced control over delivery schedules and quality;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Limited warranties on wafers or products supplied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increases in prices or payments in advance for capacity;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need for international-based supply, logistics and financial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to our supply chain resulting from cyber-attacks on our suppliers’ information technology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Their inability to supply or support new or changing packaging technologies;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Low test yields.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our suppliers experience closures or reductions in their capacity utilization levels in the future, we may have difficulty sourcing materials necessary to fulfill production requirements. Public health crises may affect our suppliers’ production capabilities as a result of quarantines, closures of production facilities, lack of supplies or delays caused by restrictions on travel.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 In addition, geopolitical changes in China-Taiwan relations could disrupt TSMC’s operations and impact our third-party assembly subcontractors in Asia. Such a disruption could severely impact our ability to manufacture the majority of our products and as a result, could adversely affect our business, revenues and results of operations.</w:t>
      </w:r>
    </w:p>
    <w:p>
      <w:pPr>
        <w:pStyle w:val="TextBody"/>
        <w:bidi w:val="0"/>
        <w:spacing w:lineRule="auto" w:line="288" w:before="240" w:after="240"/>
        <w:jc w:val="left"/>
        <w:rPr/>
      </w:pPr>
      <w:r>
        <w:rPr>
          <w:rFonts w:ascii="Times New Roman;serif" w:hAnsi="Times New Roman;serif"/>
          <w:b/>
          <w:color w:val="000000"/>
          <w:sz w:val="20"/>
        </w:rPr>
        <w:t>We are a global company, which subjects us to additional business risks including logistical and financial complexity,</w:t>
      </w:r>
      <w:r>
        <w:rPr>
          <w:color w:val="000000"/>
        </w:rPr>
        <w:t xml:space="preserve"> </w:t>
      </w:r>
      <w:r>
        <w:rPr>
          <w:rFonts w:ascii="Times New Roman;serif" w:hAnsi="Times New Roman;serif"/>
          <w:b/>
          <w:color w:val="000000"/>
          <w:sz w:val="20"/>
        </w:rPr>
        <w:t>supply disruption, political instability and currency fluctuations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established international subsidiaries and have opened offices in international markets to support our activities in Asia, the Americas and Europe. This has included the establishment of a headquarters in Singapore for non-U.S. operations. During the three months ended April 4, 2026, the percentage of our revenues derived from outside of the United States was 92% (and the revenue associated with end customers in China was 19%, and revenue attributed to China based on shipped-to location was 32%). We may not be able to maintain or increase global market demand for our products. Our international operations are subject to a number of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Complexity and costs of managing international operations and related tax obligations, including our headquarters for non-U.S. operations in Singapore;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Protectionist laws and business practices, including trade restrictions, tariffs, export controls, quotas and other trade barriers, including China-U.S. trade policies;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Trade tensions, geopolitical uncertainty, or governmental actions, including those arising from the trade dispute between the U.S. and China, may lead customers to favor products from non-US companies which could put us at a competitive disadvantage and result in decreased customer demand for our products and our customers’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Rising tensions and deteriorating military, political and economic relations between China and Taiwan could disrupt the operations of our third-party foundry, assembly and test subcontractors, which could severely impact our ability to manufacture the majority of our products and as a result, could adversely affect our business, revenues and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Restrictions or tariffs imposed on certain countries and sanctions or export controls imposed on customers or suppliers may affect our ability to sell and source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related to the protection of our intellectual property rights in some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health crises may affect our international operations, suppliers and customers and we may experience delays in product development, a decreased ability to support our customers and reduced design win activity if the travel restrictions or business shutdowns or slowdowns continue for an extended period of time in any of the countries in which we, our suppliers and our customers operate and do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Multiple, conflicting and changing tax and other laws and regulations that may impact both our international and domestic tax and other liabilities and result in increased complexity and costs;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Longer sales cycles;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difficulty in accounts receivable collection and longer collection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High levels of distributor inventory subject to price protection and rights of return to us;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and economic instability;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that demand and the supply chain may be adversely affected by military conflict (including the ongoing wars in Ukraine and Iran), terrorism, sanctions or other geopolitical events globally;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difficulty in hiring and retaining qualified personnel;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need to have business and operations systems that can meet the needs of our international business and operating structure.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such as has occurred since the beginning of 2025, may reduce our buying power with respect to international suppliers. However, we may be required to buy or sell in other currencies as a result of changes in industry standards. Operating or transacting in currencies other than the U.S. dollar may result in enhanced volatility in our operating results.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 public health crisis,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natural disaster, epidemic, labor strike, war or political unrest where our customers’ facilities are located would likely reduce our sales to such customers.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 If such an event significantly disrupts the manufacture, shipment and sales of our products or the products of our customers, this may materially negatively impact our operating results. For example, if travel restrictions or business shutdowns or slowdowns occur for an extended period of time in Taiwan, South Korea or the other countries in which our current manufacturers, assemblers, test service providers, distributors and customers are located, we may experience delays in product production, a decreased ability to support our customers, reduced design win activity, and overall lack of productivity. Our customers may also experience closures of their manufacturing facilities or inability to obtain other components, either of which could negatively impact demand for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are subject to the cyclical nature of the semiconductor industry, which has been subject to significant fluctuations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interest rates and inflation, increased energy costs, decreased consumer confidence, reduced corporate profits, decreased spending and similar adverse business conditions, have in the past and may in the future make it very difficult for our customers, our vendors, and us to accurately forecast and plan future business activities and could cause U.S. and foreign businesses to slow spending on our products. Increases in inflation and interest rates can impact demand for our customers’ end products and increase our costs. If our costs become subject to significant inflationary pressures, we may not be able to fully offset such higher costs with increased revenues.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 We believe the semiconductor industry recently suffered a downturn due in large part to adverse macroeconomic conditions, characterized by a slowdown in overall GDP performance and factory activity in certain regions, higher levels of customer inventory, the impact of tariffs on trade relations, and greater overall uncertainty regarding the economy. Future downturns may adversely effect our business and operating results.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may not be able to maintain our historical growth and may experience significant period-to-period fluctuations in our revenues and operating results, which may result in volatility in our stock price</w:t>
      </w:r>
    </w:p>
    <w:p>
      <w:pPr>
        <w:pStyle w:val="TextBody"/>
        <w:bidi w:val="0"/>
        <w:spacing w:lineRule="auto" w:line="288" w:before="24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If our revenues or operating results are below the expectations of public market analysts or investors, our stock price may drop, perhaps significantly.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factors, in addition to those cited in other risk factors applicable to our business, may contribute to fluctuations in our revenues and operating results, including: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volume of orders received from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timeliness of our new product introductions and the rate at which our new products may cannibalize our older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of acceptance of our products by our customers, including the acceptance of new products we may develop for integration in the products manufactured by such customers, which we refer to as “design wins”;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 lag and realization rate between “design wins” and production orders;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Supplier capacity constraints;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 for, and life cycles of, the products incorporating our mixed-signal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of adoption of mixed-signal products in the markets we target;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Deferrals or reductions of customer orders in anticipation of new products or product enhancements from us or our competitors or other providers of mixed-signal 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product mix;</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average selling prices for our products could drop suddenly due to competitive offerings or competitive predatory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average selling prices for our products generally decline over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market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foreign currency exchange rates and any requirements for buying and/or selling in currencies other than the U.S. dollar;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charges related to inventory, equipment or other long-lived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software used in our products, including software provided by third parties, may not meet the needs of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customers may not be able to obtain other components such as capacitors that they need to incorporate in conjunction with our products, leading to potential downturn in the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legal costs to defend our intellectual property rights or respond to claims against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at which new markets emerge for products we are currently developing or for which our design expertise can be utilized to develop products for these new markets.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inability to manage growth could materially and adversely affect our business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depend on our key personnel to manage our business effectively in a rapidly changing market, and if we are unable to retain our current personnel and hire additional personnel, our ability to develop and successfully market our products could be harmed</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Competition for qualified personnel with significant experience in the design, development, manufacturing, marketing and sales of analog and mixed-signal products has been, and continues to be,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 In addition, changes to immigration laws and visa policies in the United States and other jurisdictions may restrict our ability to recruit or retain foreign nationals in key technical roles. For example, the September 2025 Presidential Proclamation on Restriction on Entry of Certain Nonimmigrant Workers imposes a $100,000 filing fee on all new H-1B visa petitions submitted after September 21, 2025, which increases the cost of hiring foreign national employees, and the Department of Homeland Security has implemented a weighted lottery system based on wage levels for H-1B visas, which could disadvantage our ability to hire early-career or entry-level foreign national personnel. These regulatory constraints, including increased scrutiny or delays in visa processing, could limit our access to highly specialized talent and adversely affect our hiring flexibility and long-term innovation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Any acquisitions we make could disrupt our business and harm our financial condition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acquisition we pursue as part of our growth and product</w:t>
        <w:noBreakHyphen/>
        <w:t>diversification strategy could disrupt our business and negatively affect our financial condition. Integrating acquired operations, technologies, or products may prove difficult and could divert management’s attention, require greater financial resources than planned, and strain relationships with suppliers and customers. Entering unfamiliar markets, transferring intellectual property licenses, absorbing additional overhead, addressing tax complexities, resolving acquisition</w:t>
        <w:noBreakHyphen/>
        <w:t>related disputes, retaining key employees, and managing potential impairment of goodwill or other intangible assets all pose additional risks. Future acquisitions may also result in debt, contingent liabilities, or the issuance of equity that could dilute existing shareholders.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The average selling prices of our products could decrease rapidly which may negatively impact our revenues and gross profit</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experience substantial period-to-period fluctuations in future operating results due to the erosion of our average selling prices. In the past,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Failure to manage our distribution channel relationships could impede our future growth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the three months ended April 4, 2026, 75% of our revenue was derived from distributors (and 51% of our revenue was derived from our two largest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We do not have long-term commitments from our customers</w:t>
      </w:r>
    </w:p>
    <w:p>
      <w:pPr>
        <w:pStyle w:val="TextBody"/>
        <w:bidi w:val="0"/>
        <w:spacing w:lineRule="auto" w:line="288" w:before="24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Customers may decide not to purchase our products at all, purchase fewer products than they did in the past, or alter their purchasing patterns, particularly because: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do not have material long-term purchase contracts with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Substantially all of our sales to date have been made on a purchase order basis, which permits our customers to cancel, change or delay product purchase commitments with little or no notice to us and without penalty;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of our customers may have efforts underway to actively diversify their vendor base which could reduce purchases of our products;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of our customers have developed or acquired products that compete directly with products these customers purchase from us, which could affect our customers’ purchasing decisions in the future.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are subject to increased inventory risks and costs because we build our products based on forecasts provided by customers before receiving purchase orders for the products</w:t>
      </w:r>
    </w:p>
    <w:p>
      <w:pPr>
        <w:pStyle w:val="TextBody"/>
        <w:bidi w:val="0"/>
        <w:spacing w:lineRule="auto" w:line="288" w:before="24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As a result, we incur inventory and manufacturing costs in advance of anticipated sales. Because demand for our products may not materialize, manufacturing based on forecasts subjects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products are complex and may contain errors which could lead to liability, an increase in our costs and/or a reduction in our revenues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pStyle w:val="TextBody"/>
        <w:bidi w:val="0"/>
        <w:spacing w:lineRule="auto" w:line="288" w:before="0" w:after="0"/>
        <w:ind w:left="0" w:right="0" w:firstLine="360"/>
        <w:jc w:val="left"/>
        <w:rPr/>
      </w:pPr>
      <w:r>
        <w:rPr>
          <w:rFonts w:ascii="Times New Roman;serif" w:hAnsi="Times New Roman;serif"/>
          <w:b w:val="false"/>
          <w:color w:val="000000"/>
          <w:sz w:val="20"/>
        </w:rPr>
        <w:t>Additionally, we have used and may increase our use of new technology such as AI or generative AI to enhance our products, decrease our development times, or improve our customers’ efficiency. Evolving rules, regulations and industry standards governing AI may require us to incur greater compliance costs and restrict the use of AI in our products or technologies. Although we maintain AI governance programs and internal oversight committees, the use of AI technologies is still in the early stages and these new technologies may not always operate as expected and deliver our intended results, may produce output that contain errors and incorrect information or other unintended consequences, including risks related to intellectual property infringement or misappropriation, data privacy and cyber security vulnerabilities. Any ineffective AI usage could negatively impact our or our customer’s business reputation and negatively impact our competitive standing.</w:t>
      </w:r>
      <w:r>
        <w:rPr>
          <w:color w:val="0000FF"/>
        </w:rPr>
        <w:t xml:space="preserve"> </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products, including as a result of AI used in the development of our products, or by our customers in end-products that incorporate our products,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customers require our products to undergo a lengthy and expensive qualification process without any assurance of product sales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are subject to risks relating to product concentration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 a substantial portion of our revenues from a limited number of products, and we expect these products to continue to account for a large percentage of our revenues in the near term. Continued market acceptance of these products is critical to our future success. Because substantially all of our products incorporate technology covered by one or more of our issued U.S. patents, a finding that these patents are invalid or unenforceable could allow competitors to introduce products that reduce both the volume and price per unit of our products. As a result, our business, operating results, financial condition and cash flows could be adversely affected by a decline in demand for any of our more significant products, a failure of our products to achieve continued market acceptance, competitive products, new or revised technological standards that we are unable to address, delays in releasing new or enhanced products, or the failure of our new products to achieve market acceptance.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Any dispositions could harm our financial condition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past or future disposition of a business or product line could expose us to risks that may materially and adversely affect our business and operating results. These risks include diverting management’s attention from core operations, facing difficulties in separating the divested business, and potentially harming relationships with customers tied to the discontinued product line. Dispositions may also reduce our purchasing leverage with suppliers, create challenges with employee relations, and face delays or failures in completion. Additional risks arise from transferring or licensing intellectual property, not realizing anticipated benefits, encountering third</w:t>
        <w:noBreakHyphen/>
        <w:t>party claims, managing security and other liabilities associated with transition services, addressing tax complexities, and resolving disputes related to earn</w:t>
        <w:noBreakHyphen/>
        <w:t>outs and escrows.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depend on our customers to support our products, and some of our customers offer competing products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customers to provide hardware, software, intellectual property indemnification and other technical support for the products supplied by them. If our customers do not provide the required functionality or satisfactory support for their products, the demand for these devices that incorporate our products may diminish or we may otherwise be materially adversely affected. Any reduction in the demand for these devices would significantly reduce our revenues. Additionally, in certain products, some of our customers offer their own competitive products. These customers may find it advantageous to support their own offerings in the marketplace in lieu of promoting or using our products.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Changes in the privacy and data security/protection laws could have an adverse effect on our operations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or may become subject to a variety of laws and regulations regarding privacy, data protection and data security, such as the European Union’s General Data Protection Regulation (“GDPR”).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The costs of compliance with the GDPR and similar laws may have an adverse effect on our operations. Given that the scope, interpretation and application of these laws and regulations are often uncertain and may be in conflict across jurisdictions, it is possible they may be interpreted and applied in a manner that is inconsistent from one jurisdiction to another and may conflict with other rules or our practices. Any failure or perceived failure by us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products must conform to industry standards and technology in order to be accepted by end users in our markets</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continuously evolving and products in the IoT market frequently require interoperability across multiple standards. We may need to adjust our portfolio to meet the needs of this evolving market through acquisitions or significant new investments in research and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Any material weaknesses or other deficiencies or otherwise failing to maintain an effective system of internal controls, including disclosure controls and procedures, could result in material misstatements of our financial statements or cause us to fail to meet our reporting obligations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previously identified a material weakness that existed as of the end of our fiscal 2023 and management concluded that our disclosure controls and procedures and internal control over financial reporting were not effective as of December 30, 2023. During the quarter ended December 28, 2024, we successfully completed the testing necessary to conclude that the material weakness had been remediated. Should new material weaknesses arise or be discovered in the future, material misstatements could occur and go undetected in our interim or annual consolidated financial statements. If we fail to remediate any future material weaknesses or maintain proper and effective internal control over financial reporting in the future, we may be required to restate our financial statements, experience delays in satisfying our reporting obligations or fail to comply with SEC rules and regulations, which could result in investigations and sanctions by regulatory authorities. Any of these results could adversely affect our business and the value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Intellectual Property Risks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Significant litigation over intellectual property in our industry may cause us to become involved in costly and lengthy litigation which could adversely affect our business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 brought against them by third parties. Some of these allegations have resulted, and may result in the future, in our 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consuming and expensive to resolve and could divert our management’s time and attention. Intellectual property litigation also could force us to take specific actions,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Cease using, selling or manufacturing certain products, services or processes;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Attempt to obtain a license, which license may require the payment of substantial royalties or may not be available on reasonable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Incur significant costs, time delays and lost business opportunities to develop alternative technologies or redesign products;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Pursue legal remedies with third parties to enforce our indemnification rights, which may not adequately protect our interests.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Furthermore, any failure of third-party technology to perform properly would adversely affect sales of our products incorporating such technology.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may be unable to protect our intellectual property, which would negatively affect our ability to compete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Credit Risks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Disruptions in the financial services industry could adversely affect our operations and financial condition</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first half of 2023, banking regulators closed three U.S. banks and appointed the Federal Deposit Insurance Corporation (“FDIC”) to act as receiver. Although we had no direct exposure to the closed banks, any uncertainty over the broader financial services industry could result in adverse impact. For example, if other financial institutions enter receivership or become insolvent in the future, our ability to access our cash and investments or to draw on our existing lines of credit could be impacted. Concerns regarding the financial services industry may result in less favorable financing terms, including higher interest rates, tighter financial covenants or systemic limitations on access to credit sources, thereby making it more difficult for us to acquire financing on acceptable terms or at all. In addition, inflation and rapid increases in interest rates have led to a decline in the market value of debt securities issued with interest rates below current market interest rates. Sales of such securities prior to their maturity would result in the recognition of losses previously unrealized.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We are subject to credit risks related to our accounts receivable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Any borrowings under our credit agreement or other indebtedness could adversely affect our operations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make the required payments when due on any debt we may incur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In May 2024, we received a waiver of the requirement that we meet an interest coverage test for each fiscal quarter through the fiscal first quarter of 2025 and in February 2025 we received an extension of the waiver through the third quarter of 2025. We did not have any outstanding indebtedness under the credit facility while the waiver was in effect. We have not renewed or extended the waiver as of October 4, 2025. However, if we breach any of the covenants under our credit facility and do not obtain appropriate waivers, then, subject to any applicable cure periods, any outstanding indebtedness thereunder could be declared immediately due and payable.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We could seek to raise additional debt or equity capital in the future, but additional capital may not be available on terms acceptable to us, or at all</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particularly during periods of financial market instability. If we decide to raise additional funds by issuing equity or convertible debt securities, the ownership percentages of existing shareholders would be reduced.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and Governance Risks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stock price may be volatile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volatile in the past and may be volatile in the future. The market price of our common stock may be significantly affected by the following factors: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by securities analysts or our failure to perform in line with such estimates;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market valuations of other technology companies, particularly semiconductor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by us or our competitors of significant technical innovations, acquisitions, strategic partnerships, joint ventures or capital commitments;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of technologies or product enhancements that reduce the need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loss of, or decrease in sales to, one or more key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large sale of stock by a significant shareholder;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Dilution from the issuance of our stock in connection with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addition or removal of our stock to or from a stock index fund;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Departures of key personnel.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stock market has experienced extreme volatility that often has been unrelated to the performance of particular companies. These market fluctuations may cause our stock price to fall regardless of our performance.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Provisions in our charter documents and Delaware law could prevent, delay or impede a change in control of us and may reduce the market price of our common stock</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of our certificate of incorporation and by-laws could have the effect of discouraging, delaying or preventing a merger or acquisition that a stockholder may consider favorable. For example, our certificate of incorporation and by-laws provide for a classified board of directors, blank-check preferred stock, and no ability for stockholders to act by written consent or call a special meeting. Further, our bylaws include advance notice provisions for stockholder nominations of directors or proposals of new business to be considered at a stockholders meeting. Finally, our certificate of incorporation requires a supermajority vote to amend or repeal certain provisions of the certificate. We also are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anti-takeover laws of Delaware which may discourage, delay or prevent someone from acquiring or merging with us, which may adversely affect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repurchases of our common stock during the three months ended April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contracts, instructions or written plans for the purchase or sale of our securities intended to satisfy the affirmative defense conditions of Rule 10b5-1(c), nor were there any non-Rule 10b5-1 trading arrangements, entered into or terminated by our directors and officers (as defined under Rule 16b-1(f) of the Exchange Act) during the quarter ended April 4, 2026. There were no non-Rule 10b5-1 trading arrangements entered into or terminated during the quarter ended April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02"/>
        <w:gridCol w:w="2648"/>
        <w:gridCol w:w="376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Exhibit</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 xml:space="preserve">Fifth Amended and Restated Certificate of Incorporation (filed as Exhibit 3.1 to the Form 10-Q filed on August 5, 2025).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EE"/>
                  <w:sz w:val="18"/>
                  <w:u w:val="single"/>
                </w:rPr>
                <w:t>Sixth Amended and Restated Bylaws of Silicon Laboratories Inc. (filed as Exhibit 3.1 to the Form 8-K filed on April 21, 2023).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EE"/>
                  <w:sz w:val="18"/>
                  <w:u w:val="single"/>
                </w:rPr>
                <w:t>Specimen certificate for shares of common stock (filed as Exhibit 4.1 to the IPO Registration Statement).</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60404xexx311.htm">
              <w:r>
                <w:rPr>
                  <w:rStyle w:val="InternetLink"/>
                  <w:rFonts w:ascii="Times New Roman;serif" w:hAnsi="Times New Roman;serif"/>
                  <w:b w:val="false"/>
                  <w:color w:val="0000EE"/>
                  <w:sz w:val="18"/>
                  <w:u w:val="single"/>
                </w:rPr>
                <w:t>Certification of the Principal Executive Officer, as required by Section 302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60404xexx312.htm">
              <w:r>
                <w:rPr>
                  <w:rStyle w:val="InternetLink"/>
                  <w:rFonts w:ascii="Times New Roman;serif" w:hAnsi="Times New Roman;serif"/>
                  <w:b w:val="false"/>
                  <w:color w:val="0000EE"/>
                  <w:sz w:val="18"/>
                  <w:u w:val="single"/>
                </w:rPr>
                <w:t>Certification of the Principal Financial Officer, as required by Section 302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60404xexx321.htm">
              <w:r>
                <w:rPr>
                  <w:rStyle w:val="InternetLink"/>
                  <w:rFonts w:ascii="Times New Roman;serif" w:hAnsi="Times New Roman;serif"/>
                  <w:b w:val="false"/>
                  <w:color w:val="0000EE"/>
                  <w:sz w:val="18"/>
                  <w:u w:val="single"/>
                </w:rPr>
                <w:t>Certification as required by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tbl>
      <w:tblPr>
        <w:tblW w:w="53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58"/>
        <w:gridCol w:w="1358"/>
        <w:gridCol w:w="1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Incorporated herein by reference to the indicated filing.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73" w:before="40" w:after="283"/>
              <w:ind w:left="0" w:right="0" w:hanging="360"/>
              <w:jc w:val="left"/>
              <w:rPr/>
            </w:pPr>
            <w:r>
              <w:rPr>
                <w:rFonts w:ascii="Times New Roman;serif" w:hAnsi="Times New Roman;serif"/>
                <w:b w:val="false"/>
                <w:color w:val="000000"/>
                <w:sz w:val="20"/>
              </w:rPr>
              <w:t>F</w:t>
            </w:r>
            <w:r>
              <w:rPr>
                <w:rFonts w:ascii="Times New Roman;serif" w:hAnsi="Times New Roman;serif"/>
                <w:b w:val="false"/>
                <w:color w:val="000000"/>
                <w:sz w:val="18"/>
              </w:rPr>
              <w:t>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000e313c1a04981982fdb247be6bd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317"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829"/>
        <w:gridCol w:w="829"/>
        <w:gridCol w:w="1177"/>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SILICON LABORATORIES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R. Matthew Johnson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 Matthew Johnson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President and </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Dean Butler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Dean Butler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D. Mauldin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Mark D. Mauldin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Accounting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to the 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by Registrant’s Chief Executive Officer, as required by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R. Matthew Johnson,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Silicon Laboratories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bl>
      <w:tblPr>
        <w:tblW w:w="2397" w:type="dxa"/>
        <w:jc w:val="left"/>
        <w:tblInd w:w="0" w:type="dxa"/>
        <w:tblLayout w:type="fixed"/>
        <w:tblCellMar>
          <w:top w:w="28" w:type="dxa"/>
          <w:left w:w="28" w:type="dxa"/>
          <w:bottom w:w="28" w:type="dxa"/>
          <w:right w:w="28" w:type="dxa"/>
        </w:tblCellMar>
      </w:tblPr>
      <w:tblGrid>
        <w:gridCol w:w="732"/>
        <w:gridCol w:w="645"/>
        <w:gridCol w:w="648"/>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 Matthew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 Matthew Johnson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to the 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by Registrant’s Chief Financial Officer, as required by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Dean Butler,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Silicon Laboratories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bl>
      <w:tblPr>
        <w:tblW w:w="2862" w:type="dxa"/>
        <w:jc w:val="center"/>
        <w:tblInd w:w="0" w:type="dxa"/>
        <w:tblLayout w:type="fixed"/>
        <w:tblCellMar>
          <w:top w:w="28" w:type="dxa"/>
          <w:left w:w="28" w:type="dxa"/>
          <w:bottom w:w="28" w:type="dxa"/>
          <w:right w:w="28" w:type="dxa"/>
        </w:tblCellMar>
      </w:tblPr>
      <w:tblGrid>
        <w:gridCol w:w="900"/>
        <w:gridCol w:w="793"/>
        <w:gridCol w:w="797"/>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Dean Butler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Dean Butler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and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each of the undersigned officers of Silicon Laboratories Inc. (the “Company”) hereby certifies that:</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w:t>
      </w:r>
      <w:r>
        <w:rPr>
          <w:rFonts w:ascii="Times New Roman;serif" w:hAnsi="Times New Roman;serif"/>
          <w:b w:val="false"/>
          <w:color w:val="000000"/>
          <w:sz w:val="20"/>
        </w:rPr>
        <w:t>the accompanying Quarterly Report on Form 10-Q of the Company for the fiscal quarter ended April 4, 2026 as filed with the Securities and Exchange Commission (the “Report”) fully complies with the requirements of Section 13(a) or Section 15(d), as applicable, of the Securities Exchange Act of 1934, as amended; and</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(ii)</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bl>
      <w:tblPr>
        <w:tblW w:w="2397" w:type="dxa"/>
        <w:jc w:val="center"/>
        <w:tblInd w:w="0" w:type="dxa"/>
        <w:tblLayout w:type="fixed"/>
        <w:tblCellMar>
          <w:top w:w="28" w:type="dxa"/>
          <w:left w:w="28" w:type="dxa"/>
          <w:bottom w:w="28" w:type="dxa"/>
          <w:right w:w="28" w:type="dxa"/>
        </w:tblCellMar>
      </w:tblPr>
      <w:tblGrid>
        <w:gridCol w:w="732"/>
        <w:gridCol w:w="645"/>
        <w:gridCol w:w="648"/>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 Matthew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 Matthew Johnson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66" w:type="dxa"/>
        <w:jc w:val="center"/>
        <w:tblInd w:w="0" w:type="dxa"/>
        <w:tblLayout w:type="fixed"/>
        <w:tblCellMar>
          <w:top w:w="28" w:type="dxa"/>
          <w:left w:w="28" w:type="dxa"/>
          <w:bottom w:w="28" w:type="dxa"/>
          <w:right w:w="28" w:type="dxa"/>
        </w:tblCellMar>
      </w:tblPr>
      <w:tblGrid>
        <w:gridCol w:w="829"/>
        <w:gridCol w:w="731"/>
        <w:gridCol w:w="734"/>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Dean Butler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Dean Butler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and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8074/000103807425000014/fifthamendedandrestatedcer.htm" TargetMode="External"/><Relationship Id="rId3" Type="http://schemas.openxmlformats.org/officeDocument/2006/relationships/hyperlink" Target="https://www.sec.gov/Archives/edgar/data/1038074/000110465923048435/tm2313328d2_ex3-1.htm" TargetMode="External"/><Relationship Id="rId4" Type="http://schemas.openxmlformats.org/officeDocument/2006/relationships/hyperlink" Target="https://www.sec.gov/Archives/edgar/data/1038074/0000912057-00-012321-index.html"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24297</Words>
  <Characters>137180</Characters>
  <CharactersWithSpaces>160299</CharactersWithSpaces>
  <Paragraphs>1717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