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May 5, 2026</w:t>
      </w:r>
    </w:p>
    <w:p>
      <w:pPr>
        <w:pStyle w:val="TextBody"/>
        <w:bidi w:val="0"/>
        <w:spacing w:lineRule="auto" w:line="288" w:before="280" w:after="283"/>
        <w:jc w:val="center"/>
        <w:rPr>
          <w:rFonts w:ascii="Times New Roman;serif" w:hAnsi="Times New Roman;serif"/>
          <w:b/>
          <w:color w:val="000000"/>
          <w:sz w:val="36"/>
        </w:rPr>
      </w:pPr>
      <w:r>
        <w:rPr>
          <w:rFonts w:ascii="Times New Roman;serif" w:hAnsi="Times New Roman;serif"/>
          <w:b/>
          <w:color w:val="000000"/>
          <w:sz w:val="36"/>
        </w:rPr>
        <w:t>SILICON LABORATORIES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237" w:type="dxa"/>
        <w:jc w:val="left"/>
        <w:tblInd w:w="0" w:type="dxa"/>
        <w:tblLayout w:type="fixed"/>
        <w:tblCellMar>
          <w:top w:w="28" w:type="dxa"/>
          <w:left w:w="28" w:type="dxa"/>
          <w:bottom w:w="28" w:type="dxa"/>
          <w:right w:w="28" w:type="dxa"/>
        </w:tblCellMar>
      </w:tblPr>
      <w:tblGrid>
        <w:gridCol w:w="829"/>
        <w:gridCol w:w="729"/>
        <w:gridCol w:w="736"/>
        <w:gridCol w:w="762"/>
        <w:gridCol w:w="762"/>
        <w:gridCol w:w="770"/>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000-29823</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74-2793174</w:t>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95" w:type="dxa"/>
        <w:jc w:val="left"/>
        <w:tblInd w:w="0" w:type="dxa"/>
        <w:tblLayout w:type="fixed"/>
        <w:tblCellMar>
          <w:top w:w="28" w:type="dxa"/>
          <w:left w:w="28" w:type="dxa"/>
          <w:bottom w:w="28" w:type="dxa"/>
          <w:right w:w="28" w:type="dxa"/>
        </w:tblCellMar>
      </w:tblPr>
      <w:tblGrid>
        <w:gridCol w:w="1215"/>
        <w:gridCol w:w="1068"/>
        <w:gridCol w:w="1077"/>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400 West Cesar Chavez, Austin, TX</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78701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(512) 416-8500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36" w:type="dxa"/>
        <w:jc w:val="left"/>
        <w:tblInd w:w="0" w:type="dxa"/>
        <w:tblLayout w:type="fixed"/>
        <w:tblCellMar>
          <w:top w:w="28" w:type="dxa"/>
          <w:left w:w="28" w:type="dxa"/>
          <w:bottom w:w="28" w:type="dxa"/>
          <w:right w:w="28" w:type="dxa"/>
        </w:tblCellMar>
      </w:tblPr>
      <w:tblGrid>
        <w:gridCol w:w="1062"/>
        <w:gridCol w:w="933"/>
        <w:gridCol w:w="944"/>
        <w:gridCol w:w="109"/>
        <w:gridCol w:w="109"/>
        <w:gridCol w:w="109"/>
        <w:gridCol w:w="564"/>
        <w:gridCol w:w="564"/>
        <w:gridCol w:w="566"/>
        <w:gridCol w:w="109"/>
        <w:gridCol w:w="109"/>
        <w:gridCol w:w="109"/>
        <w:gridCol w:w="832"/>
        <w:gridCol w:w="832"/>
        <w:gridCol w:w="1185"/>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on which registered</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5, 2026, Silicon Laboratories Inc. (“Silicon Laboratories”) issued a press release announcing its results of operations for its fiscal quarter ended April 4, 2026. A copy of the press release is attached as Exhibit 99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891" w:type="dxa"/>
        <w:jc w:val="left"/>
        <w:tblInd w:w="0" w:type="dxa"/>
        <w:tblLayout w:type="fixed"/>
        <w:tblCellMar>
          <w:top w:w="28" w:type="dxa"/>
          <w:left w:w="28" w:type="dxa"/>
          <w:bottom w:w="28" w:type="dxa"/>
          <w:right w:w="28" w:type="dxa"/>
        </w:tblCellMar>
      </w:tblPr>
      <w:tblGrid>
        <w:gridCol w:w="158"/>
        <w:gridCol w:w="138"/>
        <w:gridCol w:w="140"/>
        <w:gridCol w:w="2183"/>
        <w:gridCol w:w="2183"/>
        <w:gridCol w:w="308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ab-20260505q1earningsrel.htm">
              <w:r>
                <w:rPr>
                  <w:rStyle w:val="InternetLink"/>
                  <w:rFonts w:ascii="Times New Roman;serif" w:hAnsi="Times New Roman;serif"/>
                  <w:b w:val="false"/>
                  <w:color w:val="0000FF"/>
                  <w:sz w:val="20"/>
                  <w:u w:val="single"/>
                </w:rPr>
                <w:t>Press Release of Silicon Laboratories Inc. dated May 5, 2026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Use of Non-GAAP Financial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Silicon Laboratories provides certain non-GAAP financial measures as additional information relating to its operating results. The non-GAAP financial measurements provided in the press release furnished herewith do not replace the presentation of Silicon Laboratories’ GAAP financial results. These additional measurements merely provide supplemental information to assist investors in analyzing Silicon Laboratories’ financial position and results of operations; however, these measures are not in accordance with, or an alternative to, GAAP and may be different from non-GAAP measures used by other companies.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used by Silicon Laboratories include non-GAAP gross profit, non-GAAP gross margin, non-GAAP research and development expense and non-GAAP research and development expense as a percentage of revenue, non-GAAP selling, general and administrative expense and non-GAAP selling, general and administrative as a percentage of revenue, non-GAAP operating expenses and non-GAAP operating expenses as a percentage of revenue, non-GAAP operating income (loss) and non-GAAP operating income (loss) as a percentage of revenue, non-GAAP income (loss) before income taxes and equity-method earnings (loss), non-GAAP tax expense, non-GAAP tax rate, non-GAAP net income (loss), and non-GAAP diluted earnings (loss) per share. Silicon Laboratories has chosen to provide this information to investors because it believes that such supplemental information enables them to perform meaningful comparisons of past, present and future operating results, and as a means to highlight the results of core ongoing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adjusted by the following items, as applicable for the relevant period:</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 xml:space="preserve">Stock compensation expense </w:t>
      </w:r>
      <w:r>
        <w:rPr>
          <w:color w:val="000000"/>
        </w:rPr>
        <w:t xml:space="preserve">– </w:t>
      </w:r>
      <w:r>
        <w:rPr>
          <w:rFonts w:ascii="Times New Roman;serif" w:hAnsi="Times New Roman;serif"/>
          <w:b w:val="false"/>
          <w:color w:val="000000"/>
          <w:sz w:val="20"/>
        </w:rPr>
        <w:t>represents charges for employee stock awards issued under Silicon Laboratories’ stock-based compensation plans. Stock compensation expense is excluded from non-GAAP financial measures because it is a non-cash expense, and excluding such expense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Intangible asset amortization</w:t>
      </w:r>
      <w:r>
        <w:rPr>
          <w:color w:val="000000"/>
        </w:rPr>
        <w:t xml:space="preserve"> – </w:t>
      </w:r>
      <w:r>
        <w:rPr>
          <w:rFonts w:ascii="Times New Roman;serif" w:hAnsi="Times New Roman;serif"/>
          <w:b w:val="false"/>
          <w:color w:val="000000"/>
          <w:sz w:val="20"/>
        </w:rPr>
        <w:t>primarily represents charges for the amortization of intangibles assets, such as core and developed technology, customer relationships and trademarks acquired in connection with business combinations. Intangible asset amortization is excluded from non-GAAP financial measures because it is a non-cash expense, and excluding such expense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 xml:space="preserve">Acquisition and disposition related items </w:t>
      </w:r>
      <w:r>
        <w:rPr>
          <w:color w:val="000000"/>
        </w:rPr>
        <w:t xml:space="preserve">– </w:t>
      </w:r>
      <w:r>
        <w:rPr>
          <w:rFonts w:ascii="Times New Roman;serif" w:hAnsi="Times New Roman;serif"/>
          <w:b w:val="false"/>
          <w:color w:val="000000"/>
          <w:sz w:val="20"/>
        </w:rPr>
        <w:t>primarily including the following: charges for the fair value write-up associated with inventory acquired; adjustments to the fair value of acquisition-related contingent consideration; and acquisition-related costs of a business combination or disposition-related costs of a business divestiture, such as costs for attorneys, investment bankers, accountants and other third party service providers. Acquisition and disposition related items are excluded from non-GAAP financial measures because excluding such amounts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 xml:space="preserve">Termination costs, impairments, and fair value and other adjustments </w:t>
      </w:r>
      <w:r>
        <w:rPr>
          <w:color w:val="000000"/>
        </w:rPr>
        <w:t xml:space="preserve">– </w:t>
      </w:r>
      <w:r>
        <w:rPr>
          <w:rFonts w:ascii="Times New Roman;serif" w:hAnsi="Times New Roman;serif"/>
          <w:b w:val="false"/>
          <w:color w:val="000000"/>
          <w:sz w:val="20"/>
        </w:rPr>
        <w:t>primarily include costs associated with certain employee terminations, asset impairments, fair value adjustments resulting from observable price changes and other non-cash adjustments. Termination costs, impairments, and fair value and other adjustments are excluded from non-GAAP financial measures because excluding such amounts provides meaningful supplemental information regarding core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Equity-method investment adjustments</w:t>
      </w:r>
      <w:r>
        <w:rPr>
          <w:color w:val="000000"/>
        </w:rPr>
        <w:t xml:space="preserve"> – </w:t>
      </w:r>
      <w:r>
        <w:rPr>
          <w:rFonts w:ascii="Times New Roman;serif" w:hAnsi="Times New Roman;serif"/>
          <w:b w:val="false"/>
          <w:color w:val="000000"/>
          <w:sz w:val="20"/>
        </w:rPr>
        <w:t>primarily include the proportionate share of gains and/or losses from investments accounted for by the equity method of accounting. Equity-method investment adjustments are excluded from non-GAAP financial measures because these generally are non-cash, represent non-operating activity during the period of adjustment, relate to activity in entities outside of the operational control of Silicon Laboratories, and excluding such expense/gain provides meaningful supplemental information regarding core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Interest expense adjustments</w:t>
      </w:r>
      <w:r>
        <w:rPr>
          <w:color w:val="000000"/>
        </w:rPr>
        <w:t xml:space="preserve"> – </w:t>
      </w:r>
      <w:r>
        <w:rPr>
          <w:rFonts w:ascii="Times New Roman;serif" w:hAnsi="Times New Roman;serif"/>
          <w:b w:val="false"/>
          <w:color w:val="000000"/>
          <w:sz w:val="20"/>
        </w:rPr>
        <w:t>represents losses or gains on the extinguishment of convertible debt and losses or gains on the termination of interest rate swap agreements. Such amounts are excluded from non-GAAP financial measures because they are non-cash expenses and/or excluding such amounts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Income tax adjustments</w:t>
      </w:r>
      <w:r>
        <w:rPr>
          <w:color w:val="000000"/>
        </w:rPr>
        <w:t xml:space="preserve"> – </w:t>
      </w:r>
      <w:r>
        <w:rPr>
          <w:rFonts w:ascii="Times New Roman;serif" w:hAnsi="Times New Roman;serif"/>
          <w:b w:val="false"/>
          <w:color w:val="000000"/>
          <w:sz w:val="20"/>
        </w:rPr>
        <w:t xml:space="preserve">effective from the first quarter of 2026, represents the application of a long-term non-GAAP tax rate of 18% to non-GAAP income before income taxes. The non-GAAP tax rate is determined based on a multi-year forecast that takes into consideration the following: the current and deferred income tax effects of the above non-GAAP adjustments; other indirect impacts of excluding stock-based compensation; and the income tax impact of certain intercompany license arrangements for technology acquired in business combinations. This non-GAAP tax rate also considers factors such as tax structure, tax positions in various jurisdictions, and key legislation in significant jurisdictions where Silicon Laboratories operates. This non-GAAP tax rate may be subject to change for a variety of reasons, including the rapidly evolving global tax environment, significant changes in geographic earnings mix, changes to strategy or business operations, or corporate organizational changes related to acquisitions or tax planning opportunities.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Regulation G, Silicon Laboratories has provided in the press release furnished with this report a reconciliation of the non-GAAP financial measures to the most directly comparable 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including the exhibit hereto, shall not be deemed to be “filed” for purposes of Section 18 of the Securities Exchange Act of 1934, as amended, or otherwise subject to the liability of that section. The information contained therein and in the accompanying exhibit shall not be incorporated by reference into any filing with the U.S. Securities and Exchange Commission made by Silicon Laboratories,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17"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829"/>
        <w:gridCol w:w="829"/>
        <w:gridCol w:w="1177"/>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SILICON LABORATORIES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Dean Butler</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Dean Butler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w:t>
              <w:br/>
              <w:t>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w:t>
      </w:r>
    </w:p>
    <w:p>
      <w:pPr>
        <w:pStyle w:val="TextBody"/>
        <w:bidi w:val="0"/>
        <w:spacing w:before="240" w:after="283"/>
        <w:jc w:val="left"/>
        <w:rPr/>
      </w:pPr>
      <w:r>
        <w:rPr/>
        <w:drawing>
          <wp:inline distT="0" distB="0" distL="0" distR="0">
            <wp:extent cx="4019550"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019550" cy="714375"/>
                    </a:xfrm>
                    <a:prstGeom prst="rect">
                      <a:avLst/>
                    </a:prstGeom>
                  </pic:spPr>
                </pic:pic>
              </a:graphicData>
            </a:graphic>
          </wp:inline>
        </w:drawing>
      </w:r>
    </w:p>
    <w:p>
      <w:pPr>
        <w:pStyle w:val="TextBody"/>
        <w:bidi w:val="0"/>
        <w:spacing w:lineRule="auto" w:line="288" w:before="240" w:after="283"/>
        <w:jc w:val="center"/>
        <w:rPr/>
      </w:pPr>
      <w:r>
        <w:rPr>
          <w:rFonts w:ascii="Times New Roman;serif" w:hAnsi="Times New Roman;serif"/>
          <w:b/>
          <w:color w:val="000000"/>
          <w:sz w:val="20"/>
        </w:rPr>
        <w:t>Silicon Labs Reports First Quarter 2026 Results</w:t>
      </w:r>
      <w:r>
        <w:rPr>
          <w:color w:val="000000"/>
        </w:rPr>
        <w:t xml:space="preserve"> </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Wireless IoT leader delivers $214 million in revenue and non-GAAP EPS of $0.53</w:t>
      </w:r>
    </w:p>
    <w:p>
      <w:pPr>
        <w:pStyle w:val="TextBody"/>
        <w:bidi w:val="0"/>
        <w:spacing w:lineRule="auto" w:line="288" w:before="240" w:after="283"/>
        <w:jc w:val="left"/>
        <w:rPr/>
      </w:pPr>
      <w:r>
        <w:rPr>
          <w:rFonts w:ascii="Times New Roman;serif" w:hAnsi="Times New Roman;serif"/>
          <w:b/>
          <w:color w:val="000000"/>
          <w:sz w:val="20"/>
        </w:rPr>
        <w:t xml:space="preserve">AUSTIN, Texas – May 5, 2026 – </w:t>
      </w:r>
      <w:r>
        <w:rPr>
          <w:rFonts w:ascii="Times New Roman;serif" w:hAnsi="Times New Roman;serif"/>
          <w:b w:val="false"/>
          <w:color w:val="000000"/>
          <w:sz w:val="20"/>
          <w:u w:val="single"/>
        </w:rPr>
        <w:t>Silicon Labs</w:t>
      </w:r>
      <w:r>
        <w:rPr>
          <w:color w:val="000000"/>
        </w:rPr>
        <w:t xml:space="preserve"> </w:t>
      </w:r>
      <w:r>
        <w:rPr>
          <w:rFonts w:ascii="Times New Roman;serif" w:hAnsi="Times New Roman;serif"/>
          <w:b w:val="false"/>
          <w:color w:val="000000"/>
          <w:sz w:val="20"/>
        </w:rPr>
        <w:t xml:space="preserve">(NASDAQ: SLAB), the leading innovator in low-power wireless, reported financial results for the first quarter, which ended April 4, 2026.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The Silicon Labs team delivered a strong start to 2026 with revenue of $214 million and meaningful year-over-year improvements in both gross margin and profitability,” said Matt Johnson, President and Chief Executive Officer.</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Over the course of the quarter we saw an acceleration in bookings with declining inventory positions at our distributors and end customers, led by our broad industrial business. Design win momentum continued during the first quarter, exceeding both our internal targets and our 2025 run rate, which was a prior record year for the company. This performance underscores the breadth and depth of our innovative product portfolio across end applications.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leading indicators point to both near- and long-term strength, with book-to-bill ratio at a multi-year high and two quarters of record design wins, reinforcing our conviction in Silicon Labs’ durable growth trajectory. At the same time, our proposed merger with Texas Instruments continues to advance, and we remain focused on disciplined execution and delivering for our customers.” </w:t>
      </w:r>
    </w:p>
    <w:p>
      <w:pPr>
        <w:pStyle w:val="TextBody"/>
        <w:bidi w:val="0"/>
        <w:spacing w:lineRule="auto" w:line="288" w:before="240" w:after="283"/>
        <w:jc w:val="left"/>
        <w:rPr/>
      </w:pPr>
      <w:r>
        <w:rPr>
          <w:rFonts w:ascii="Times New Roman;serif" w:hAnsi="Times New Roman;serif"/>
          <w:b/>
          <w:color w:val="000000"/>
          <w:sz w:val="20"/>
        </w:rPr>
        <w:t>First Quarter Financial Highlights</w:t>
      </w:r>
      <w:r>
        <w:rPr>
          <w:color w:val="000000"/>
        </w:rPr>
        <w:t xml:space="preserv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Revenue was $214 million, up 20%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Industrial &amp; Commercial revenue was $128 million, up 33%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Strength in electronic shelf labels and smart metering end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Home &amp; Life revenue was $86 million, up 5%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end applications revenue grew by 21% year-over-year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Results on a GAAP basis: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GAAP gross margin was 59.5%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operating expenses were $144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operating loss was $17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effective tax rate was (16.1)%</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diluted loss per share was $(0.48)</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Results on a non-GAAP basis, excluding the impact of stock compensation, amortization of acquired intangible assets, acquisition-related costs, and certain other items as set forth in the below GAAP to Non-GAAP reconciliation tables were as follows: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Non-GAAP gross margin was 59.7%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operating expenses were $109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operating income was $18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effective tax rate was 18%, which is the expected long-term rate for the remainder of the year</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Non-GAAP diluted earnings per share was $0.53</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Due to the announced pending acquisition of Silicon Labs by Texas Instruments, Silicon Labs has suspended providing forward-looking guidance.</w:t>
      </w:r>
    </w:p>
    <w:p>
      <w:pPr>
        <w:pStyle w:val="TextBody"/>
        <w:bidi w:val="0"/>
        <w:spacing w:lineRule="auto" w:line="288" w:before="240" w:after="283"/>
        <w:jc w:val="left"/>
        <w:rPr/>
      </w:pPr>
      <w:r>
        <w:rPr>
          <w:rFonts w:ascii="Times New Roman;serif" w:hAnsi="Times New Roman;serif"/>
          <w:b/>
          <w:color w:val="000000"/>
          <w:sz w:val="20"/>
        </w:rPr>
        <w:t>About Silicon Labs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Silicon Labs (NASDAQ: SLAB) is the leading innovator in low-power wireless connectivity, building embedded technology that connects devices and improves lives. Merging cutting-edge technology into the world's most highly integrated SoCs, Silicon Labs provides device makers the solutions, support, and ecosystems needed to create advanced edge connectivity applications. Headquartered in Austin, Texas, Silicon Labs has operations in over 16 countries and is the trusted partner for innovative solutions in the smart home, industrial IoT, and smart cities markets. Learn more at silabs.com.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regarding Silicon Labs’ current expectations, which are based on its current views and assumptions. The words “believe”, “estimate”, “expect”, “intend”, “anticipate”, “plan”, “project”, “will”, and similar phrases as they relate to Silicon Labs are intended to identify such forward-looking statements, although the absence of such words does not necessarily mean a statement is not forward looking. These forward-looking statements include, but are not limited to, Silicon Labs’ expectations regarding its near- and long-term strength and durable growth trajectory and are subject to various risks and uncertainties that could cause actual results to differ materially from expectations that are expressed or implied herein. Among the factors that could cause actual results to differ materially from those in the forward-looking statements are the following: our ability to complete the merger with Texas Instruments within the time frame expected, or at all, as well as potential disruptions in our business and restrictions on our activities during the pendency of the merger; fluctuating changes in global trade policies, including the imposition of tariffs, duties, trade sanctions, or other barriers to international commerce; the impact of the current global memory chip shortage; the competitive and cyclical nature of the semiconductor industry; the challenging macroeconomic environment, including disruptions in the financial services industry; geographic concentration of manufacturers, assemblers, test service providers and customers in Asia that subjects Silicon Labs’ business and results of operations to risks of natural disasters, epidemics or pandemics, war and political unrest; risks that demand and the supply chain may be adversely affected by military conflict (including in the Middle East, and between Russia and Ukraine), terrorism, sanctions or other geopolitical events globally (including in the Middle East, and conflict between Taiwan and China); risks that Silicon Labs may not be able to maintain its historical growth; quarterly fluctuations in revenues and operating results; difficulties developing new products that achieve market acceptance; risks associated with international activities (including trade barriers, particularly with respect to China); intellectual property litigation risks; risks associated with acquisitions and divestitures; product liability risks; difficulties managing and/or obtaining sufficient supply from Silicon Labs’ distributors, manufacturers and subcontractors; dependence on a limited number of products; absence of long-term commitments from customers; inventory-related risks; difficulties managing international activities; risks that Silicon Labs may not be able to manage strains associated with its growth; credit risks associated with its accounts receivable; dependence on key personnel; stock price volatility; the impact of public health crises on the U.S. and global economy; debt-related risks; capital-raising risks; the timing and scope of share repurchases and/or dividends; average selling prices of products may decrease significantly and rapidly; information technology risks; cyber-attacks against Silicon Labs’ products and its networks; risks associated with any material weakness in our internal controls over financial reporting; risks relating to compliance with laws and regulations; and other factors that are detailed in the SEC filings of Silicon Laboratories Inc. Silicon Labs disclaims any intention or obligation to update or revise any forward-looking statements, whether as a result of new information, future events, or otherwise, except as required by law. References in this press release to Silicon Labs shall mean Silicon Laboratories Inc.</w:t>
      </w:r>
    </w:p>
    <w:p>
      <w:pPr>
        <w:pStyle w:val="TextBody"/>
        <w:bidi w:val="0"/>
        <w:spacing w:lineRule="auto" w:line="288" w:before="240" w:after="283"/>
        <w:jc w:val="left"/>
        <w:rPr/>
      </w:pPr>
      <w:r>
        <w:rPr>
          <w:rFonts w:ascii="Times New Roman;serif" w:hAnsi="Times New Roman;serif"/>
          <w:b w:val="false"/>
          <w:i/>
          <w:color w:val="000000"/>
          <w:sz w:val="20"/>
        </w:rPr>
        <w:t>Note to editors: Silicon Laboratories, Silicon Labs, the “S” symbol, and the Silicon Labs logo are trademarks of Silicon Laboratories Inc. All other product names noted herein may be trademarks of their respective holders.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CONTACT: Thomas Haws, Investor Relations Manager, (512) 416-8500, </w:t>
      </w:r>
      <w:r>
        <w:rPr>
          <w:rFonts w:ascii="Times New Roman;serif" w:hAnsi="Times New Roman;serif"/>
          <w:b w:val="false"/>
          <w:color w:val="000000"/>
          <w:sz w:val="20"/>
          <w:u w:val="single"/>
        </w:rPr>
        <w:t>investor.relations@silabs.com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pPr>
      <w:r>
        <w:rPr>
          <w:rFonts w:ascii="Times New Roman;serif" w:hAnsi="Times New Roman;serif"/>
          <w:b/>
          <w:color w:val="000000"/>
          <w:sz w:val="20"/>
        </w:rPr>
        <w:t>Condensed Consolidated Statements of Operations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 except per share data)</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074" w:type="dxa"/>
        <w:jc w:val="left"/>
        <w:tblInd w:w="0" w:type="dxa"/>
        <w:tblLayout w:type="fixed"/>
        <w:tblCellMar>
          <w:top w:w="28" w:type="dxa"/>
          <w:left w:w="28" w:type="dxa"/>
          <w:bottom w:w="28" w:type="dxa"/>
          <w:right w:w="28" w:type="dxa"/>
        </w:tblCellMar>
      </w:tblPr>
      <w:tblGrid>
        <w:gridCol w:w="1442"/>
        <w:gridCol w:w="1262"/>
        <w:gridCol w:w="1270"/>
        <w:gridCol w:w="211"/>
        <w:gridCol w:w="826"/>
        <w:gridCol w:w="109"/>
        <w:gridCol w:w="109"/>
        <w:gridCol w:w="109"/>
        <w:gridCol w:w="109"/>
        <w:gridCol w:w="211"/>
        <w:gridCol w:w="826"/>
        <w:gridCol w:w="109"/>
        <w:gridCol w:w="109"/>
        <w:gridCol w:w="109"/>
        <w:gridCol w:w="109"/>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Non-GAAP Financial Measurements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GAAP results provided throughout this document, Silicon Labs has provided non-GAAP financial measurements on a basis excluding non-cash and other charges and benefits. Details of these excluded items are presented in the tables below, which reconcile the GAAP results to non-GAAP financial measurements.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measurements do not replace the presentation of Silicon Labs’ GAAP financial results. These measurements provide supplemental information to assist management and investors in analyzing Silicon Labs’ financial position and results of operations. Silicon Labs has chosen to provide this information to investors to enable them to perform meaningful comparisons of past, present and future operating results and as a means to emphasize the results of core on-going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2081" w:type="dxa"/>
        <w:jc w:val="left"/>
        <w:tblInd w:w="0" w:type="dxa"/>
        <w:tblLayout w:type="fixed"/>
        <w:tblCellMar>
          <w:top w:w="28" w:type="dxa"/>
          <w:left w:w="28" w:type="dxa"/>
          <w:bottom w:w="28" w:type="dxa"/>
          <w:right w:w="28" w:type="dxa"/>
        </w:tblCellMar>
      </w:tblPr>
      <w:tblGrid>
        <w:gridCol w:w="498"/>
        <w:gridCol w:w="306"/>
        <w:gridCol w:w="307"/>
        <w:gridCol w:w="109"/>
        <w:gridCol w:w="109"/>
        <w:gridCol w:w="109"/>
        <w:gridCol w:w="196"/>
        <w:gridCol w:w="736"/>
        <w:gridCol w:w="109"/>
        <w:gridCol w:w="109"/>
        <w:gridCol w:w="109"/>
        <w:gridCol w:w="109"/>
        <w:gridCol w:w="210"/>
        <w:gridCol w:w="211"/>
        <w:gridCol w:w="391"/>
        <w:gridCol w:w="109"/>
        <w:gridCol w:w="109"/>
        <w:gridCol w:w="109"/>
        <w:gridCol w:w="308"/>
        <w:gridCol w:w="661"/>
        <w:gridCol w:w="172"/>
        <w:gridCol w:w="109"/>
        <w:gridCol w:w="109"/>
        <w:gridCol w:w="109"/>
        <w:gridCol w:w="297"/>
        <w:gridCol w:w="617"/>
        <w:gridCol w:w="167"/>
        <w:gridCol w:w="109"/>
        <w:gridCol w:w="109"/>
        <w:gridCol w:w="109"/>
        <w:gridCol w:w="422"/>
        <w:gridCol w:w="874"/>
        <w:gridCol w:w="235"/>
        <w:gridCol w:w="109"/>
        <w:gridCol w:w="109"/>
        <w:gridCol w:w="109"/>
        <w:gridCol w:w="196"/>
        <w:gridCol w:w="406"/>
        <w:gridCol w:w="109"/>
        <w:gridCol w:w="109"/>
        <w:gridCol w:w="109"/>
        <w:gridCol w:w="109"/>
        <w:gridCol w:w="196"/>
        <w:gridCol w:w="736"/>
        <w:gridCol w:w="109"/>
        <w:gridCol w:w="109"/>
        <w:gridCol w:w="109"/>
        <w:gridCol w:w="109"/>
        <w:gridCol w:w="210"/>
        <w:gridCol w:w="211"/>
        <w:gridCol w:w="575"/>
      </w:tblGrid>
      <w:tr>
        <w:trPr/>
        <w:tc>
          <w:tcPr>
            <w:tcW w:w="4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3" w:type="dxa"/>
            <w:gridSpan w:val="4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April 4, 2026</w:t>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Non-GAAP Income Statement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br/>
              <w:t>Percent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Compensation</w:t>
              <w:br/>
              <w:t xml:space="preserve">Expense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w:t>
              <w:br/>
              <w:t>Percent of</w:t>
              <w:br/>
              <w:t>Revenue</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11,416 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11,213 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11,213 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21,055 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11,213 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697"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196"/>
        <w:gridCol w:w="661"/>
        <w:gridCol w:w="109"/>
        <w:gridCol w:w="109"/>
        <w:gridCol w:w="109"/>
        <w:gridCol w:w="109"/>
        <w:gridCol w:w="235"/>
        <w:gridCol w:w="775"/>
        <w:gridCol w:w="131"/>
        <w:gridCol w:w="109"/>
        <w:gridCol w:w="109"/>
        <w:gridCol w:w="109"/>
        <w:gridCol w:w="246"/>
        <w:gridCol w:w="698"/>
        <w:gridCol w:w="137"/>
        <w:gridCol w:w="109"/>
        <w:gridCol w:w="109"/>
        <w:gridCol w:w="109"/>
        <w:gridCol w:w="315"/>
        <w:gridCol w:w="1039"/>
        <w:gridCol w:w="177"/>
        <w:gridCol w:w="109"/>
        <w:gridCol w:w="109"/>
        <w:gridCol w:w="109"/>
        <w:gridCol w:w="196"/>
        <w:gridCol w:w="421"/>
        <w:gridCol w:w="109"/>
        <w:gridCol w:w="109"/>
        <w:gridCol w:w="109"/>
        <w:gridCol w:w="109"/>
        <w:gridCol w:w="225"/>
        <w:gridCol w:w="655"/>
        <w:gridCol w:w="126"/>
        <w:gridCol w:w="109"/>
        <w:gridCol w:w="109"/>
        <w:gridCol w:w="109"/>
        <w:gridCol w:w="196"/>
        <w:gridCol w:w="646"/>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April 4, 2026</w:t>
            </w:r>
          </w:p>
        </w:tc>
      </w:tr>
      <w:tr>
        <w:trPr/>
        <w:tc>
          <w:tcPr>
            <w:tcW w:w="9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Non-GAAP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w:t>
              <w:br/>
              <w:t>Asset</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Tax</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br/>
              <w:t>Measure</w:t>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21,055 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11,213 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(1,668)</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Excluded Due to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33,548</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*Represents pre-tax amounts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Represents the application of an 18% non-GAAP tax rate</w:t>
      </w:r>
    </w:p>
    <w:p>
      <w:pPr>
        <w:pStyle w:val="TextBody"/>
        <w:bidi w:val="0"/>
        <w:spacing w:before="240" w:after="283"/>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pPr>
      <w:r>
        <w:rPr>
          <w:rFonts w:ascii="Times New Roman;serif" w:hAnsi="Times New Roman;serif"/>
          <w:b/>
          <w:color w:val="000000"/>
          <w:sz w:val="20"/>
        </w:rPr>
        <w:t>Condensed Consolidated Balance Sheets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 except per share data)</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6"/>
        <w:gridCol w:w="2265"/>
        <w:gridCol w:w="2228"/>
        <w:gridCol w:w="211"/>
        <w:gridCol w:w="976"/>
        <w:gridCol w:w="109"/>
        <w:gridCol w:w="109"/>
        <w:gridCol w:w="109"/>
        <w:gridCol w:w="109"/>
        <w:gridCol w:w="211"/>
        <w:gridCol w:w="97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64,513 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95,566 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70,316 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674,017 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128,643 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67,138 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returns liability</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87,711 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143,787 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167,927 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174,899 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 $0.0001 par value; 10,000 shares authorized; no shares issued </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250,000 shares authorized; 32,968 and 32,955 shares issued and outstanding at April 4, 2026 and January 3, 2026, respectively</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157,402 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936,814 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1,098,534 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1,094,418 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1,266,461 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Silicon Laboratories Inc. </w:t>
      </w:r>
    </w:p>
    <w:p>
      <w:pPr>
        <w:pStyle w:val="TextBody"/>
        <w:bidi w:val="0"/>
        <w:spacing w:lineRule="auto" w:line="288" w:before="0" w:after="0"/>
        <w:jc w:val="center"/>
        <w:rPr/>
      </w:pPr>
      <w:r>
        <w:rPr>
          <w:rFonts w:ascii="Times New Roman;serif" w:hAnsi="Times New Roman;serif"/>
          <w:b/>
          <w:color w:val="000000"/>
          <w:sz w:val="20"/>
        </w:rPr>
        <w:t>Condensed Consolidated Statements of Cash Flows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98" w:type="dxa"/>
        <w:jc w:val="left"/>
        <w:tblInd w:w="0" w:type="dxa"/>
        <w:tblLayout w:type="fixed"/>
        <w:tblCellMar>
          <w:top w:w="28" w:type="dxa"/>
          <w:left w:w="28" w:type="dxa"/>
          <w:bottom w:w="28" w:type="dxa"/>
          <w:right w:w="28" w:type="dxa"/>
        </w:tblCellMar>
      </w:tblPr>
      <w:tblGrid>
        <w:gridCol w:w="2331"/>
        <w:gridCol w:w="2046"/>
        <w:gridCol w:w="2057"/>
        <w:gridCol w:w="211"/>
        <w:gridCol w:w="826"/>
        <w:gridCol w:w="109"/>
        <w:gridCol w:w="109"/>
        <w:gridCol w:w="109"/>
        <w:gridCol w:w="109"/>
        <w:gridCol w:w="211"/>
        <w:gridCol w:w="826"/>
        <w:gridCol w:w="154"/>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April 5,</w:t>
              <w:br/>
              <w:t>2025</w:t>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(30,470)</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19,714 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returns liability</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(4,852)</w:t>
            </w:r>
          </w:p>
        </w:tc>
        <w:tc>
          <w:tcPr>
            <w:tcW w:w="154"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capital-related government incentives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for vested stock awards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383,089 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324,877 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3164</Words>
  <Characters>19264</Characters>
  <CharactersWithSpaces>22150</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