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4,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000-29823</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SILICON LABORATORIES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1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74-2793174</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1"/>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400 West Cesar Chavez, Austin, Texas</w:t>
            </w:r>
          </w:p>
        </w:tc>
        <w:tc>
          <w:tcPr>
            <w:tcW w:w="36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78701</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416-8500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3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SLAB</w:t>
            </w:r>
          </w:p>
        </w:tc>
        <w:tc>
          <w:tcPr>
            <w:tcW w:w="8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3" w:lineRule="exact"/>
        <w:rPr>
          <w:sz w:val="24"/>
          <w:szCs w:val="24"/>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3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0" w:lineRule="exact"/>
        <w:rPr>
          <w:sz w:val="24"/>
          <w:szCs w:val="24"/>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0"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p>
      <w:pPr>
        <w:ind w:left="20"/>
        <w:spacing w:after="0" w:line="173" w:lineRule="exact"/>
        <w:tabs>
          <w:tab w:leader="none" w:pos="2240" w:val="left"/>
          <w:tab w:leader="none" w:pos="4040" w:val="left"/>
          <w:tab w:leader="none" w:pos="6180" w:val="left"/>
          <w:tab w:leader="none" w:pos="878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pacing w:after="0" w:line="200" w:lineRule="exact"/>
        <w:rPr>
          <w:sz w:val="24"/>
          <w:szCs w:val="24"/>
          <w:color w:val="auto"/>
        </w:rPr>
      </w:pPr>
    </w:p>
    <w:p>
      <w:pPr>
        <w:ind w:right="180" w:firstLine="324"/>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jc w:val="right"/>
        <w:spacing w:after="0" w:line="207" w:lineRule="exact"/>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9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28, 2025, 32,852,942 shares of common stock of Silicon Laboratories Inc.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4"/>
        </w:trPr>
        <w:tc>
          <w:tcPr>
            <w:tcW w:w="103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00" w:type="dxa"/>
            <w:vAlign w:val="bottom"/>
          </w:tcPr>
          <w:p>
            <w:pPr>
              <w:spacing w:after="0"/>
              <w:rPr>
                <w:sz w:val="2"/>
                <w:szCs w:val="2"/>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87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8720" w:type="dxa"/>
            <w:vAlign w:val="bottom"/>
            <w:gridSpan w:val="24"/>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at October 4, 2025 and December 28, 2024</w:t>
            </w:r>
          </w:p>
        </w:tc>
        <w:tc>
          <w:tcPr>
            <w:tcW w:w="264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October 4, 2025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28, 2024</w:t>
            </w:r>
          </w:p>
        </w:tc>
        <w:tc>
          <w:tcPr>
            <w:tcW w:w="6220" w:type="dxa"/>
            <w:vAlign w:val="bottom"/>
            <w:tcBorders>
              <w:top w:val="single" w:sz="8" w:color="0000EE"/>
            </w:tcBorders>
            <w:gridSpan w:val="12"/>
          </w:tcPr>
          <w:p>
            <w:pPr>
              <w:spacing w:after="0"/>
              <w:rPr>
                <w:sz w:val="17"/>
                <w:szCs w:val="17"/>
                <w:color w:val="auto"/>
              </w:rPr>
            </w:pPr>
          </w:p>
        </w:tc>
        <w:tc>
          <w:tcPr>
            <w:tcW w:w="920" w:type="dxa"/>
            <w:vAlign w:val="bottom"/>
            <w:gridSpan w:val="4"/>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nine months ended October 4, 2025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28, 2024</w:t>
            </w:r>
          </w:p>
        </w:tc>
        <w:tc>
          <w:tcPr>
            <w:tcW w:w="694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for the three and nine months ended October 4,</w:t>
            </w:r>
          </w:p>
        </w:tc>
        <w:tc>
          <w:tcPr>
            <w:tcW w:w="4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2025 and September 28, 2024</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October 4, 2025 and September 28, 2024</w:t>
            </w:r>
          </w:p>
        </w:tc>
        <w:tc>
          <w:tcPr>
            <w:tcW w:w="8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72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4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6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460" w:type="dxa"/>
            <w:vAlign w:val="bottom"/>
          </w:tcPr>
          <w:p>
            <w:pPr>
              <w:spacing w:after="0"/>
              <w:rPr>
                <w:sz w:val="24"/>
                <w:szCs w:val="24"/>
                <w:color w:val="auto"/>
              </w:rPr>
            </w:pP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36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580" w:type="dxa"/>
            <w:vAlign w:val="bottom"/>
            <w:gridSpan w:val="2"/>
          </w:tcPr>
          <w:p>
            <w:pPr>
              <w:spacing w:after="0"/>
              <w:rPr>
                <w:sz w:val="24"/>
                <w:szCs w:val="24"/>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380" w:type="dxa"/>
            <w:vAlign w:val="bottom"/>
            <w:gridSpan w:val="1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580" w:type="dxa"/>
            <w:vAlign w:val="bottom"/>
            <w:gridSpan w:val="2"/>
          </w:tcPr>
          <w:p>
            <w:pPr>
              <w:spacing w:after="0"/>
              <w:rPr>
                <w:sz w:val="24"/>
                <w:szCs w:val="24"/>
                <w:color w:val="auto"/>
              </w:rPr>
            </w:pP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38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580" w:type="dxa"/>
            <w:vAlign w:val="bottom"/>
            <w:gridSpan w:val="2"/>
          </w:tcPr>
          <w:p>
            <w:pPr>
              <w:spacing w:after="0"/>
              <w:rPr>
                <w:sz w:val="24"/>
                <w:szCs w:val="24"/>
                <w:color w:val="auto"/>
              </w:rPr>
            </w:pPr>
          </w:p>
        </w:tc>
        <w:tc>
          <w:tcPr>
            <w:tcW w:w="23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58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696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580" w:type="dxa"/>
            <w:vAlign w:val="bottom"/>
            <w:gridSpan w:val="2"/>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12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Cautionary Statement</w:t>
      </w:r>
    </w:p>
    <w:p>
      <w:pPr>
        <w:spacing w:after="0" w:line="22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281,607</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 and returns liability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 $0.0001 par value; 10,000 shares authorized; no shares issued</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818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 – $0.0001 par value; 250,000 shares authorized; 32,853 and 32,458 shares issued and</w:t>
            </w:r>
          </w:p>
        </w:tc>
        <w:tc>
          <w:tcPr>
            <w:tcW w:w="2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at October 4, 2025 and December 28, 2024, respectively</w:t>
            </w:r>
          </w:p>
        </w:tc>
        <w:tc>
          <w:tcPr>
            <w:tcW w:w="26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1,080,021</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1,253,067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8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60" w:type="dxa"/>
            <w:vAlign w:val="bottom"/>
          </w:tcPr>
          <w:p>
            <w:pPr>
              <w:spacing w:after="0"/>
              <w:rPr>
                <w:sz w:val="13"/>
                <w:szCs w:val="13"/>
                <w:color w:val="auto"/>
              </w:rPr>
            </w:pPr>
          </w:p>
        </w:tc>
        <w:tc>
          <w:tcPr>
            <w:tcW w:w="13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00" w:type="dxa"/>
            <w:vAlign w:val="bottom"/>
          </w:tcPr>
          <w:p>
            <w:pPr>
              <w:spacing w:after="0"/>
              <w:rPr>
                <w:sz w:val="13"/>
                <w:szCs w:val="13"/>
                <w:color w:val="auto"/>
              </w:rPr>
            </w:pPr>
          </w:p>
        </w:tc>
        <w:tc>
          <w:tcPr>
            <w:tcW w:w="1280" w:type="dxa"/>
            <w:vAlign w:val="bottom"/>
          </w:tcPr>
          <w:p>
            <w:pPr>
              <w:jc w:val="right"/>
              <w:ind w:right="212"/>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418,137</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196,172</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221,965</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249,787</w:t>
            </w:r>
          </w:p>
        </w:tc>
      </w:tr>
      <w:tr>
        <w:trPr>
          <w:trHeight w:val="25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109,041</w:t>
            </w: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358,828</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w:t>
            </w:r>
          </w:p>
        </w:tc>
      </w:tr>
      <w:tr>
        <w:trPr>
          <w:trHeight w:val="257"/>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(128,904)</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38,283</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63"/>
        </w:trPr>
        <w:tc>
          <w:tcPr>
            <w:tcW w:w="5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32,114</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8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3"/>
                <w:szCs w:val="13"/>
                <w:color w:val="auto"/>
              </w:rPr>
            </w:pPr>
          </w:p>
        </w:tc>
        <w:tc>
          <w:tcPr>
            <w:tcW w:w="12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80" w:type="dxa"/>
            <w:vAlign w:val="bottom"/>
          </w:tcPr>
          <w:p>
            <w:pPr>
              <w:spacing w:after="0"/>
              <w:rPr>
                <w:sz w:val="13"/>
                <w:szCs w:val="13"/>
                <w:color w:val="auto"/>
              </w:rPr>
            </w:pPr>
          </w:p>
        </w:tc>
        <w:tc>
          <w:tcPr>
            <w:tcW w:w="1180" w:type="dxa"/>
            <w:vAlign w:val="bottom"/>
          </w:tcPr>
          <w:p>
            <w:pPr>
              <w:jc w:val="right"/>
              <w:ind w:right="153"/>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(167,187)</w:t>
            </w: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available-for-sale securities:</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(gains) included in net loss</w:t>
            </w: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7"/>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cash flow hedges:</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57"/>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(gains) included in net loss</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63"/>
        </w:trPr>
        <w:tc>
          <w:tcPr>
            <w:tcW w:w="5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 related to items of other comprehensive income</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5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43"/>
        </w:trPr>
        <w:tc>
          <w:tcPr>
            <w:tcW w:w="5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(165,890)</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4, 2025</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5, 2025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111,562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949,434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1,061,080</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(9,936)</w:t>
            </w:r>
          </w:p>
        </w:tc>
      </w:tr>
      <w:tr>
        <w:trPr>
          <w:trHeight w:val="3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3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w:t>
            </w:r>
          </w:p>
        </w:tc>
      </w:tr>
      <w:tr>
        <w:trPr>
          <w:trHeight w:val="233"/>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as of October 4,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130,979</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939,498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1,070,713</w:t>
            </w:r>
          </w:p>
        </w:tc>
      </w:tr>
      <w:tr>
        <w:trPr>
          <w:trHeight w:val="24"/>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7"/>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29, 2024</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39,232</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1,093,029</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(28,504)</w:t>
            </w:r>
          </w:p>
        </w:tc>
      </w:tr>
      <w:tr>
        <w:trPr>
          <w:trHeight w:val="33"/>
        </w:trPr>
        <w:tc>
          <w:tcPr>
            <w:tcW w:w="37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33"/>
        </w:trPr>
        <w:tc>
          <w:tcPr>
            <w:tcW w:w="37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15,913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w:t>
            </w:r>
          </w:p>
        </w:tc>
      </w:tr>
      <w:tr>
        <w:trPr>
          <w:trHeight w:val="23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September 28, 2024</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55,567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1,025,544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1,081,386</w:t>
            </w: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14"/>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4, 2025</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900" w:type="dxa"/>
            <w:vAlign w:val="bottom"/>
            <w:gridSpan w:val="4"/>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7"/>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28, 2024</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78,227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1,080,021</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(62,223)</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59,512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59,512</w:t>
            </w:r>
          </w:p>
        </w:tc>
      </w:tr>
      <w:tr>
        <w:trPr>
          <w:trHeight w:val="23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October 4, 2025</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130,979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939,498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1,070,713</w:t>
            </w: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14"/>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09"/>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8"/>
                <w:szCs w:val="18"/>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8"/>
                <w:szCs w:val="18"/>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21"/>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2023</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1,208,682</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(167,187)</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45,277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45,277</w:t>
            </w:r>
          </w:p>
        </w:tc>
      </w:tr>
      <w:tr>
        <w:trPr>
          <w:trHeight w:val="23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September 28, 2024</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55,567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1,025,544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1,081,386</w:t>
            </w: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58"/>
        </w:trPr>
        <w:tc>
          <w:tcPr>
            <w:tcW w:w="7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60" w:type="dxa"/>
            <w:vAlign w:val="bottom"/>
          </w:tcPr>
          <w:p>
            <w:pPr>
              <w:spacing w:after="0"/>
              <w:rPr>
                <w:sz w:val="13"/>
                <w:szCs w:val="13"/>
                <w:color w:val="auto"/>
              </w:rPr>
            </w:pPr>
          </w:p>
        </w:tc>
        <w:tc>
          <w:tcPr>
            <w:tcW w:w="1440" w:type="dxa"/>
            <w:vAlign w:val="bottom"/>
          </w:tcPr>
          <w:p>
            <w:pPr>
              <w:jc w:val="right"/>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(167,187)</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19,302</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17,596</w:t>
            </w: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45,358</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29,100</w:t>
            </w: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54,724</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23,091</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(13,849)</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current liabilities and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 and returns liability</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(13,946)</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87,358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(24,039)</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1"/>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(28,363)</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44,057</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131,008</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other investment</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investment</w:t>
            </w:r>
          </w:p>
        </w:tc>
        <w:tc>
          <w:tcPr>
            <w:tcW w:w="3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w:t>
            </w:r>
          </w:p>
        </w:tc>
      </w:tr>
      <w:tr>
        <w:trPr>
          <w:trHeight w:val="33"/>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151,299</w:t>
            </w:r>
          </w:p>
        </w:tc>
      </w:tr>
      <w:tr>
        <w:trPr>
          <w:trHeight w:val="108"/>
        </w:trPr>
        <w:tc>
          <w:tcPr>
            <w:tcW w:w="7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3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3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taxes withheld for vested stock awards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(16,078)</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r>
      <w:tr>
        <w:trPr>
          <w:trHeight w:val="33"/>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(51,682)</w:t>
            </w:r>
          </w:p>
        </w:tc>
      </w:tr>
      <w:tr>
        <w:trPr>
          <w:trHeight w:val="108"/>
        </w:trPr>
        <w:tc>
          <w:tcPr>
            <w:tcW w:w="7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75,578</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227,504</w:t>
            </w:r>
          </w:p>
        </w:tc>
      </w:tr>
      <w:tr>
        <w:trPr>
          <w:trHeight w:val="33"/>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303,082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the instructions to Form 10-Q and Article 10 of Regulation S-X. The information included herein contains all normal recurring accruals and adjustments which, in the opinion of management, are necessary to present fairly Silicon Laboratories Inc.’s (the “Company”) financial position, results of its operations, comprehensive loss, stockholders’ equity, and cash flows. The Condensed Consolidated Balance Sheet as of December 28, 2024 was derived from the Company’s audited Consolidated Financial Statements. All intercompany balances and transactions have been eliminated in consolidation. The condensed consolidated results of operations for the three and nine months ended October 4, 2025 are not necessarily indicative of the results to be expected for the full year.</w:t>
      </w:r>
    </w:p>
    <w:p>
      <w:pPr>
        <w:spacing w:after="0" w:line="18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for the year ended December 28, 2024, included in the Company’s Annual Report on Form 10-K filed with the Securities and Exchange Commission (“SEC”) on February 4, 2025.</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Company prepares financial statements on a 52- or 53-week fiscal year that ends on the Saturday closest to December 31. Fiscal 2025 will have 53 weeks with the extra week occurring in the first quarter of the year. Fiscal 2024 had 52 weeks. In a 52-week year, each fiscal quarter consists of 13 weeks.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information about income taxes paid. The authoritative guidance is effective for annual periods beginning after December 15, 2024, with early adoption permitted. As the requirements of this ASU are disclosure-related, the adoption will not have an impact on the Company’s consolidated financial position and results of operations. The Company is currently evaluating the impact of this update on its income tax disclosures.</w:t>
      </w:r>
    </w:p>
    <w:p>
      <w:pPr>
        <w:spacing w:after="0" w:line="183"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that public business entities disclose additional information about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This ASU clarifies and modernizes the accounting for costs related to internal-use software. The amendments in the ASU are effective for all entities for annual reporting periods beginning after December 15, 2027, and interim reporting periods within those annual reporting periods. Entities may apply the guidance using a prospective,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Significant Accounting Policies (Continued)</w:t>
      </w:r>
    </w:p>
    <w:p>
      <w:pPr>
        <w:spacing w:after="0" w:line="3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retrospective or modified transition approach. Early adoption is permitted as of the beginning of an annual reporting period. The Company is currently evaluating the effect of this new guidance on its consolidated financial statements.</w:t>
      </w:r>
    </w:p>
    <w:p>
      <w:pPr>
        <w:spacing w:after="0" w:line="158"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8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3"/>
                <w:szCs w:val="13"/>
                <w:color w:val="auto"/>
              </w:rPr>
            </w:pPr>
          </w:p>
        </w:tc>
        <w:tc>
          <w:tcPr>
            <w:tcW w:w="12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80" w:type="dxa"/>
            <w:vAlign w:val="bottom"/>
          </w:tcPr>
          <w:p>
            <w:pPr>
              <w:spacing w:after="0"/>
              <w:rPr>
                <w:sz w:val="13"/>
                <w:szCs w:val="13"/>
                <w:color w:val="auto"/>
              </w:rPr>
            </w:pPr>
          </w:p>
        </w:tc>
        <w:tc>
          <w:tcPr>
            <w:tcW w:w="118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(167,187)</w:t>
            </w:r>
          </w:p>
        </w:tc>
      </w:tr>
      <w:tr>
        <w:trPr>
          <w:trHeight w:val="243"/>
        </w:trPr>
        <w:tc>
          <w:tcPr>
            <w:tcW w:w="5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r>
      <w:tr>
        <w:trPr>
          <w:trHeight w:val="257"/>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awards</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6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bl>
    <w:p>
      <w:pPr>
        <w:spacing w:after="0" w:line="2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Diluted shares for the three and nine months ended October 4, 2025 excluded 0.2 million and 0.3 million shares, respectively, and for the three and nine months ended September 28, 2024 excluded 0.1 million, and 0.2 million shares, respectively, as they were anti-dilutive due to the Company’s net loss for the periods.</w:t>
      </w:r>
    </w:p>
    <w:p>
      <w:pPr>
        <w:spacing w:after="0" w:line="17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Securities that were anti-dilutive due to the Company’s stock price and were excluded from the computation of diluted earnings per share for the three and nine months ended October 4, 2025 were not material, and for the three and nine months ended September 28, 2024 were 0.7 million, and 0.5 million, respectively.</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2 - Inputs other than Level 1 that are directly or indirectly observable, such as quoted prices for similar assets or liabilities and quoted prices in less active markets.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Level 3 - Inputs are unobservable for the asset or liability and are developed based on the best information available in the circumstances, which might include the Company’s own data.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 (Continued)</w:t>
      </w:r>
    </w:p>
    <w:p>
      <w:pPr>
        <w:spacing w:after="0" w:line="200" w:lineRule="exact"/>
        <w:rPr>
          <w:sz w:val="20"/>
          <w:szCs w:val="20"/>
          <w:color w:val="auto"/>
        </w:rPr>
      </w:pPr>
    </w:p>
    <w:p>
      <w:pPr>
        <w:spacing w:after="0" w:line="3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20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at October 4, 2025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22225</wp:posOffset>
            </wp:positionV>
            <wp:extent cx="2357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0"/>
        </w:trPr>
        <w:tc>
          <w:tcPr>
            <w:tcW w:w="54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20" w:type="dxa"/>
            <w:vAlign w:val="bottom"/>
            <w:tcBorders>
              <w:bottom w:val="single" w:sz="8" w:color="auto"/>
            </w:tcBorders>
          </w:tcPr>
          <w:p>
            <w:pPr>
              <w:spacing w:after="0"/>
              <w:rPr>
                <w:sz w:val="21"/>
                <w:szCs w:val="21"/>
                <w:color w:val="auto"/>
              </w:rPr>
            </w:pPr>
          </w:p>
        </w:tc>
      </w:tr>
      <w:tr>
        <w:trPr>
          <w:trHeight w:val="25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20" w:type="dxa"/>
            <w:vAlign w:val="bottom"/>
            <w:shd w:val="clear" w:color="auto" w:fill="CCEEFF"/>
          </w:tcPr>
          <w:p>
            <w:pPr>
              <w:spacing w:after="0"/>
              <w:rPr>
                <w:sz w:val="22"/>
                <w:szCs w:val="22"/>
                <w:color w:val="auto"/>
              </w:rPr>
            </w:pPr>
          </w:p>
        </w:tc>
      </w:tr>
      <w:tr>
        <w:trPr>
          <w:trHeight w:val="257"/>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5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97,561</w:t>
            </w:r>
          </w:p>
        </w:tc>
        <w:tc>
          <w:tcPr>
            <w:tcW w:w="20" w:type="dxa"/>
            <w:vAlign w:val="bottom"/>
            <w:tcBorders>
              <w:bottom w:val="single" w:sz="8" w:color="auto"/>
            </w:tcBorders>
            <w:shd w:val="clear" w:color="auto" w:fill="CCEEFF"/>
          </w:tcPr>
          <w:p>
            <w:pPr>
              <w:spacing w:after="0"/>
              <w:rPr>
                <w:sz w:val="22"/>
                <w:szCs w:val="22"/>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20" w:type="dxa"/>
            <w:vAlign w:val="bottom"/>
          </w:tcPr>
          <w:p>
            <w:pPr>
              <w:spacing w:after="0"/>
              <w:rPr>
                <w:sz w:val="21"/>
                <w:szCs w:val="21"/>
                <w:color w:val="auto"/>
              </w:rPr>
            </w:pPr>
          </w:p>
        </w:tc>
      </w:tr>
      <w:tr>
        <w:trPr>
          <w:trHeight w:val="26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332,497</w:t>
            </w:r>
          </w:p>
        </w:tc>
        <w:tc>
          <w:tcPr>
            <w:tcW w:w="20" w:type="dxa"/>
            <w:vAlign w:val="bottom"/>
            <w:tcBorders>
              <w:bottom w:val="single" w:sz="8" w:color="auto"/>
            </w:tcBorders>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5"/>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December 28, 2024 Using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2"/>
                <w:szCs w:val="22"/>
                <w:color w:val="auto"/>
              </w:rPr>
            </w:pPr>
          </w:p>
        </w:tc>
      </w:tr>
      <w:tr>
        <w:trPr>
          <w:trHeight w:val="256"/>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 w:type="dxa"/>
            <w:vAlign w:val="bottom"/>
          </w:tcPr>
          <w:p>
            <w:pPr>
              <w:spacing w:after="0"/>
              <w:rPr>
                <w:sz w:val="22"/>
                <w:szCs w:val="22"/>
                <w:color w:val="auto"/>
              </w:rPr>
            </w:pPr>
          </w:p>
        </w:tc>
      </w:tr>
      <w:tr>
        <w:trPr>
          <w:trHeight w:val="25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r>
      <w:tr>
        <w:trPr>
          <w:trHeight w:val="26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20" w:type="dxa"/>
            <w:vAlign w:val="bottom"/>
          </w:tcPr>
          <w:p>
            <w:pPr>
              <w:spacing w:after="0"/>
              <w:rPr>
                <w:sz w:val="21"/>
                <w:szCs w:val="21"/>
                <w:color w:val="auto"/>
              </w:rPr>
            </w:pPr>
          </w:p>
        </w:tc>
      </w:tr>
      <w:tr>
        <w:trPr>
          <w:trHeight w:val="21"/>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Valuation methodology</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200" w:lineRule="exact"/>
        <w:rPr>
          <w:rFonts w:ascii="Times New Roman" w:cs="Times New Roman" w:eastAsia="Times New Roman" w:hAnsi="Times New Roman"/>
          <w:sz w:val="18"/>
          <w:szCs w:val="18"/>
          <w:b w:val="1"/>
          <w:bCs w:val="1"/>
          <w:color w:val="auto"/>
        </w:rPr>
      </w:pPr>
    </w:p>
    <w:p>
      <w:pPr>
        <w:spacing w:after="0" w:line="3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the components of available-for-sale investments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4, 2025</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98"/>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5"/>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97,561</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332,497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maturities of investments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available-for-sale investments are reported at fair value, with unrealized gains and losses, net of tax, recorded as a component of accumulated other comprehensive income in the Condensed Consolidated Balance Sheet. The following summarizes the contractual underlying maturities of the Company’s available-for-sale investments at October 4, 2025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80,761</w:t>
            </w:r>
          </w:p>
        </w:tc>
      </w:tr>
      <w:tr>
        <w:trPr>
          <w:trHeight w:val="25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16,861</w:t>
            </w: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Unrealized Gains and Losses</w:t>
      </w:r>
    </w:p>
    <w:p>
      <w:pPr>
        <w:spacing w:after="0" w:line="227"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4, 2025</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w:t>
            </w:r>
          </w:p>
        </w:tc>
      </w:tr>
      <w:tr>
        <w:trPr>
          <w:trHeight w:val="275"/>
        </w:trPr>
        <w:tc>
          <w:tcPr>
            <w:tcW w:w="3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5"/>
        </w:trPr>
        <w:tc>
          <w:tcPr>
            <w:tcW w:w="32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gross unrealized losses as of October 4, 2025 and December 28, 2024 were due primarily to changes in market interest rates. At October 4, 2025 and December 28, 2024, there were no material unrealized gains associated with the Company’s available-for-sale investments.</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October 4, 2025, there were no material declines in the market value of available-for-sale investments due to credit-related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other financial instruments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including cash, accounts receivable and accounts payable, are recorded at amounts that approximate their fair values due to their short maturities.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Derivative Financial Instruments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may use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Condensed Consolidated Balance Sheet at fair value. Cash flows from derivatives are classified according to the nature of the cash receipt or payment in the Condensed Consolidated Statement of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may use foreign currency forward contracts to reduce the earnings impact that exchange rate fluctuations have on operating expenses denominated in currencies other than the U.S. dollar. Changes in the fair value of the contracts are recorded in accumulated other comprehensive income in the Condensed Consolidated Balance Sheet and subsequently reclassified into earnings in the period during which the hedged transaction was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may be recognized in the Condensed Consolidated Statement of Operations based on an assessment of the contracts at the time of termination.</w:t>
      </w:r>
    </w:p>
    <w:p>
      <w:pPr>
        <w:spacing w:after="0" w:line="18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various foreign currency forward contracts for a portion of its forecasted operating expenses for the quarter ended October 4, 2025. As of October 4, 2025, the Company held no such foreign currency contracts. The fair value of the contracts, contract gains or losses recognized in other comprehensive income and amounts reclassified from accumulated other comprehensive income into earnings were not material for any of the periods presented and are not expected to be material in the next twelve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7" w:lineRule="exact"/>
        <w:rPr>
          <w:sz w:val="20"/>
          <w:szCs w:val="20"/>
          <w:color w:val="auto"/>
        </w:rPr>
      </w:pPr>
    </w:p>
    <w:p>
      <w:pPr>
        <w:jc w:val="both"/>
        <w:ind w:right="500" w:firstLine="324"/>
        <w:spacing w:after="0" w:line="289" w:lineRule="auto"/>
        <w:rPr>
          <w:sz w:val="20"/>
          <w:szCs w:val="20"/>
          <w:color w:val="auto"/>
        </w:rPr>
      </w:pPr>
      <w:r>
        <w:rPr>
          <w:rFonts w:ascii="Times New Roman" w:cs="Times New Roman" w:eastAsia="Times New Roman" w:hAnsi="Times New Roman"/>
          <w:sz w:val="17"/>
          <w:szCs w:val="17"/>
          <w:color w:val="auto"/>
        </w:rPr>
        <w:t>The Company may use foreign currency forward contracts to reduce the earnings impact that exchange rate fluctuations have on non-U.S. dollar balance sheet exposures. The Company recognizes gains and losses on the foreign currency forward contracts in interest income and other, net in the Condensed Consolidated Statement of Operations. The Company does not apply hedge accounting to these foreign currency forward contracts.</w:t>
      </w:r>
    </w:p>
    <w:p>
      <w:pPr>
        <w:spacing w:after="0" w:line="15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October 4, 2025, the Company held no such foreign currency forward contracts. The fair value of the foreign currency forward contracts and contract gains and losses recognized in income were not material for any of the periods presented.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foreign currency forward contracts, both designated and not designated as hedging instruments, are classified within Level 2 as the valuation inputs include foreign exchange rates, forward and spot prices for currencies, and market observable data of similar instruments.</w:t>
      </w:r>
    </w:p>
    <w:p>
      <w:pPr>
        <w:spacing w:after="0" w:line="15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details of selected Condensed Consolidated Balance Sheet items (in thousands):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4,</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0"/>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83,562</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w:t>
            </w:r>
          </w:p>
        </w:tc>
      </w:tr>
      <w:tr>
        <w:trPr>
          <w:trHeight w:val="275"/>
        </w:trPr>
        <w:tc>
          <w:tcPr>
            <w:tcW w:w="7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income</w:t>
      </w:r>
    </w:p>
    <w:p>
      <w:pPr>
        <w:spacing w:after="0" w:line="227"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a portion of its headquarter facilities to other tenants. Lease income from operating leases was $0.6 million and $0.7 million during the three months ended October 4, 2025 and September 28, 2024, respectively, and $1.6 million and $2.2 million during the nine months ended October 4, 2025 and September 28, 2024, respectively.</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Debt (Continued)</w:t>
      </w:r>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was granted a waiver of compliance for the minimum interest coverage ratio through October 4, 2025. As of October 4, 2025, the Company was in compliance with all covenants of the credit facility, including the minimum interest coverage ratio. The Company’s obligations under the credit facility are guaranteed by the Guarantors and are secured by a security interest in substantially all assets of the Company and the Guarantors. As of October 4, 2025, no amounts were outstanding on the credit facility.</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legal proceedings that have arisen in the normal course of business. While the ultimate results cannot be predicted with certainty, the Company does not expect them to have a material adverse effect on its Condensed Consolidated Financial Statements.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Revenues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 groups its products as Industrial &amp; Commercial or Home &amp; Life based on the target markets they address. The following represents revenue by product category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98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4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3"/>
                <w:szCs w:val="13"/>
                <w:color w:val="auto"/>
              </w:rPr>
            </w:pPr>
          </w:p>
        </w:tc>
        <w:tc>
          <w:tcPr>
            <w:tcW w:w="14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360" w:type="dxa"/>
            <w:vAlign w:val="bottom"/>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249,840</w:t>
            </w:r>
          </w:p>
        </w:tc>
      </w:tr>
      <w:tr>
        <w:trPr>
          <w:trHeight w:val="25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253,181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168,297</w:t>
            </w:r>
          </w:p>
        </w:tc>
      </w:tr>
      <w:tr>
        <w:trPr>
          <w:trHeight w:val="275"/>
        </w:trPr>
        <w:tc>
          <w:tcPr>
            <w:tcW w:w="4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portion of the Company’s sales are made to distributors under agreements allowing certain rights of return and/or price protection related to the final selling price to the end customers. These factors impact the timing and uncertainty of revenues and cash flows. During the three and nine months ended October 4, 2025 and September 28, 2024, the impact of revenue related to performance obligations that were satisfied in previous reporting periods was insignificant. The following disaggregates the Company’s revenue by sales channel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96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4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4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3"/>
                <w:szCs w:val="13"/>
                <w:color w:val="auto"/>
              </w:rPr>
            </w:pPr>
          </w:p>
        </w:tc>
        <w:tc>
          <w:tcPr>
            <w:tcW w:w="13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360" w:type="dxa"/>
            <w:vAlign w:val="bottom"/>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289,502</w:t>
            </w:r>
          </w:p>
        </w:tc>
      </w:tr>
      <w:tr>
        <w:trPr>
          <w:trHeight w:val="250"/>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173,723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128,635</w:t>
            </w:r>
          </w:p>
        </w:tc>
      </w:tr>
      <w:tr>
        <w:trPr>
          <w:trHeight w:val="275"/>
        </w:trPr>
        <w:tc>
          <w:tcPr>
            <w:tcW w:w="4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576,558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values on the date of grant for stock awards and stock options and on the date of enrollment for the employee stock purchase plans. The fair values of stock awards (such as restricted stock units (“RSUs”) and performance stock units (“PSUs”)) are estimated based on their intrinsic values. The fair values of market stock awards (“MSUs”) are estimated using a Monte Carlo simulation. The fair values of stock options and rights under the Company’s Employee Stock Purchase Plan are estimated using the Black-Scholes option-pricing model.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2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stock-based compensation costs recognized in the Condensed Consolidated Statements of Operations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9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4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3"/>
                <w:szCs w:val="13"/>
                <w:color w:val="auto"/>
              </w:rPr>
            </w:pPr>
          </w:p>
        </w:tc>
        <w:tc>
          <w:tcPr>
            <w:tcW w:w="13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360" w:type="dxa"/>
            <w:vAlign w:val="bottom"/>
          </w:tcPr>
          <w:p>
            <w:pPr>
              <w:jc w:val="right"/>
              <w:ind w:right="275"/>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30,194</w:t>
            </w: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r>
      <w:tr>
        <w:trPr>
          <w:trHeight w:val="250"/>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45,358</w:t>
            </w: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5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39,304</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Company had approximately $111.7 million of total unrecognized compensation cost related to equity grants as of October 4, 2025 that is expected to be recognized over a weighted-average period of approximately 2.1 years.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deemed foreign income inclusions, change in the valuation allowance, and other permanent differences.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was $0.4 million and $2.0 million for the three months ended October 4, 2025 and September 28, 2024, resulting in effective tax rates of (4.3)% and (7.6)%, respectively. Income tax expense was $4.8 million and $38.3 million for the nine months ended October 4, 2025 and September 28, 2024, resulting in effective tax rates of (8.4)% and (29.7)%, respectively. The decrease in the provision for income taxes for the three months ended October 4, 2025 is primarily due to the release of a liability for unrecognized tax benefits in the three months ended October 4, 2025 in comparison with the three months ended September 28, 2024. The decrease in the provision for income taxes for the nine months ended October 4, 2025 is primarily due to a decrease in tax expense related to the valuation allowance in the nine months ended October 4, 2025 in comparison with the nine months ended September 28, 2024. During the nine months ended September 28, 2024, the Company incurred significant tax expense to record a valuation allowance in the U.S. and Singapore due to a three-year cumulative pre-tax loss in conjunction with the downturn in the semiconductor industry. The Company intends to maintain the valuation allowance until its ability to forecast sufficient future sources of taxable income is reestablished.</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July 4, 2025, the U.S. government enacted tax legislation commonly referred to as the One Big Beautiful Bill Act (the “OBBBA”). The OBBBA extends and/or modifies many provisions first enacted via the Tax Cuts and Jobs Act (“TCJA”) in 2017, as well as introduces new modifications to U.S. federal tax law. Beginning with the 2025 tax year, the OBBBA permanently restores current deductibility for U.S. research and experimental (“R&amp;E”) expenditures. A number of other changes enacted in the OBBBA will not take effect until the 2026 tax year, including various modifications to existing international tax provisions. The Company determined that its forecasted annual effective tax rate for the current year decreased due to the impacts of the OBBBA, primarily due to U.S. R&amp;E expenditures no longer being capitalized within global intangible low-taxed income or “GILTI”, which the Company has elected to treat as a period cost. The Company did not identify any material discrete tax impacts related to beginning-of-the-year deferred tax assets and liabilities or valuation allowances due to the enactment of the OBBBA.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1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October 4, 2025, the Company had gross unrecognized tax benefits, inclusive of interest, of $4.5 million, of which $1.9 million would affect the effective tax rate if recognized. During the three months ended October 4, 2025, the Company released $1.7 million of unrecognized tax benefits, inclusive of interest.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200" w:lineRule="exact"/>
        <w:rPr>
          <w:sz w:val="20"/>
          <w:szCs w:val="20"/>
          <w:color w:val="auto"/>
        </w:rPr>
      </w:pPr>
    </w:p>
    <w:p>
      <w:pPr>
        <w:spacing w:after="0" w:line="3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Following the completion of the Norwegian Tax Administration (“NTA”) examination of the Company’s Norwegian subsidiary for income tax matters relating to fiscal years 2013 – 2016, the Company received an assessment from the NTA in December 2017 proposing an adjustment to its 2013 taxable income related to the pricing of an intercompany transaction. The adjustment would have resulted in approximately 141.3 million Norwegian kroner, or $14.0 million, additional Norwegian income tax. The Company disagreed with the NTA’s findings and appealed the assessment, concluding that the Company’s position was more likely than not to be sustained in the appeal.</w:t>
      </w:r>
    </w:p>
    <w:p>
      <w:pPr>
        <w:spacing w:after="0" w:line="21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ending October 4, 2025, the Norwegian Tax Appeals Board issued a formal decision in favor of the Company, rejecting the proposed adjustment to its 2013 tax liability. Because the Company did not previously establish a reserve related to the NTA assessment, there is no resulting financial statement impact for the final resolution of this matter.</w:t>
      </w:r>
    </w:p>
    <w:p>
      <w:pPr>
        <w:spacing w:after="0" w:line="16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Tax years 2020 through 2025 remain open to examination by the major taxing jurisdictions in which the Company operates. The Company’s 2022 tax year is currently under examination in the U.S., and the Company’s 2022 through 2023 tax years are currently under examination in India. Although the outcome of tax audits is always uncertain, the Company believes that the results of these examinations will not materially impact its financial position or results of operations. The Company is not currently under audit in any other major taxing jurisdiction.</w:t>
      </w:r>
    </w:p>
    <w:p>
      <w:pPr>
        <w:spacing w:after="0" w:line="19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will decrease by approximately $0.7 million, inclusive of interest, in the next 12 months due to the lapse of the statute of limitations.</w:t>
      </w:r>
    </w:p>
    <w:p>
      <w:pPr>
        <w:spacing w:after="0" w:line="172"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mixed-signal analog intensive products, consisting of numerous product areas. The Company’s chief operating decision maker (“CODM”) is the Chief Executive Officer. The CODM assesses performance for the operating segment and decides how to allocate resources based on net income (loss) that is also reported on the Condensed Consolidated Statement of Operations as Net loss. The measure of segment assets is reported on the Condensed Consolidated Balance Sheets as Total assets.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Revenue is attributed to a geographic area based on the shipped-to location. The following summarizes the Company’s revenue by geographic area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8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8"/>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00" w:type="dxa"/>
            <w:vAlign w:val="bottom"/>
          </w:tcPr>
          <w:p>
            <w:pPr>
              <w:spacing w:after="0"/>
              <w:rPr>
                <w:sz w:val="13"/>
                <w:szCs w:val="13"/>
                <w:color w:val="auto"/>
              </w:rPr>
            </w:pPr>
          </w:p>
        </w:tc>
        <w:tc>
          <w:tcPr>
            <w:tcW w:w="13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60" w:type="dxa"/>
            <w:vAlign w:val="bottom"/>
          </w:tcPr>
          <w:p>
            <w:pPr>
              <w:spacing w:after="0"/>
              <w:rPr>
                <w:sz w:val="13"/>
                <w:szCs w:val="13"/>
                <w:color w:val="auto"/>
              </w:rPr>
            </w:pPr>
          </w:p>
        </w:tc>
        <w:tc>
          <w:tcPr>
            <w:tcW w:w="13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00" w:type="dxa"/>
            <w:vAlign w:val="bottom"/>
          </w:tcPr>
          <w:p>
            <w:pPr>
              <w:spacing w:after="0"/>
              <w:rPr>
                <w:sz w:val="13"/>
                <w:szCs w:val="13"/>
                <w:color w:val="auto"/>
              </w:rPr>
            </w:pPr>
          </w:p>
        </w:tc>
        <w:tc>
          <w:tcPr>
            <w:tcW w:w="1280" w:type="dxa"/>
            <w:vAlign w:val="bottom"/>
          </w:tcPr>
          <w:p>
            <w:pPr>
              <w:jc w:val="right"/>
              <w:ind w:right="215"/>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30,779</w:t>
            </w:r>
          </w:p>
        </w:tc>
      </w:tr>
      <w:tr>
        <w:trPr>
          <w:trHeight w:val="25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137,479</w:t>
            </w:r>
          </w:p>
        </w:tc>
      </w:tr>
      <w:tr>
        <w:trPr>
          <w:trHeight w:val="26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50,533</w:t>
            </w: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231,768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199,346</w:t>
            </w:r>
          </w:p>
        </w:tc>
      </w:tr>
      <w:tr>
        <w:trPr>
          <w:trHeight w:val="28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576,558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 (Continued)</w:t>
      </w: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expense categories regularly provided to the CODM, in addition to the expense categories included within net loss presented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Statement of Operations,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8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2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60" w:type="dxa"/>
            <w:vAlign w:val="bottom"/>
          </w:tcPr>
          <w:p>
            <w:pPr>
              <w:spacing w:after="0"/>
              <w:rPr>
                <w:sz w:val="13"/>
                <w:szCs w:val="13"/>
                <w:color w:val="auto"/>
              </w:rPr>
            </w:pPr>
          </w:p>
        </w:tc>
        <w:tc>
          <w:tcPr>
            <w:tcW w:w="13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00" w:type="dxa"/>
            <w:vAlign w:val="bottom"/>
          </w:tcPr>
          <w:p>
            <w:pPr>
              <w:spacing w:after="0"/>
              <w:rPr>
                <w:sz w:val="13"/>
                <w:szCs w:val="13"/>
                <w:color w:val="auto"/>
              </w:rPr>
            </w:pPr>
          </w:p>
        </w:tc>
        <w:tc>
          <w:tcPr>
            <w:tcW w:w="1280" w:type="dxa"/>
            <w:vAlign w:val="bottom"/>
          </w:tcPr>
          <w:p>
            <w:pPr>
              <w:jc w:val="right"/>
              <w:ind w:right="215"/>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7"/>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92,286</w:t>
            </w:r>
          </w:p>
        </w:tc>
      </w:tr>
      <w:tr>
        <w:trPr>
          <w:trHeight w:val="256"/>
        </w:trPr>
        <w:tc>
          <w:tcPr>
            <w:tcW w:w="504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Other research and development expenses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157,501</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249,787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w:t>
            </w:r>
          </w:p>
        </w:tc>
      </w:tr>
      <w:tr>
        <w:trPr>
          <w:trHeight w:val="257"/>
        </w:trPr>
        <w:tc>
          <w:tcPr>
            <w:tcW w:w="5040" w:type="dxa"/>
            <w:vAlign w:val="bottom"/>
            <w:tcBorders>
              <w:bottom w:val="single" w:sz="8" w:color="CCEEFF"/>
            </w:tcBorders>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Other selling, general and administrative expenses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69,934</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640" w:hanging="8"/>
        <w:spacing w:after="0" w:line="242" w:lineRule="auto"/>
        <w:tabs>
          <w:tab w:leader="none" w:pos="505"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research and development and selling, general and administrative expenses include other personnel-related expenses, outside services, software expense, depreciation, amortization, and other expenses.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property and equipment, net by geographic area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4,</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0"/>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107,612</w:t>
            </w:r>
          </w:p>
        </w:tc>
      </w:tr>
      <w:tr>
        <w:trPr>
          <w:trHeight w:val="25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82"/>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Our fiscal year-end financial reporting periods are a 52- or 53-week fiscal year that ends on the Saturday closest to December 31. Fiscal 2025 will have 53 weeks with the extra week occurring in the first quarter of the year. Fiscal 2024 had 52 weeks. Our third quarter of fiscal 2025 ended October 4, 2025 and our third quarter of fiscal 2024 ended September 28,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 global economic environment has experienced inflationary pressure, high interest rates, and geopolitical tension, and we have experienced declines in revenues as our customers slowed purchases to reduce existing inventories in response to a softening market. There continues to be uncertainty regarding international trade relations and trade policy, including those related to tariffs. The situation concerning the imposition of additional tariffs and trade restrictions by the U.S. and other jurisdictions continues to evolve, and we cannot be certain of the outcome, which could adversely impact demand for our products, costs, customers, suppliers, and general economic conditions. Additionally, continued geopolitical instability, including the ongoing war in Ukraine and conflicts in the Middle East, as well as the risk of inflation, slower GDP growth, or recession, and the weakening U.S. dollar, have added to the uncertainty. The extent of the impact of the macroeconomic and geopolitical environment on our operational and financial performance will depend on future developments, which are uncertain, but could materially affect our business, results of operations, access to sources of liquidity, and financial condition. See the section entitled “Risk Factors” in Part II, Item 1A of the Form 10-Q for further discussion.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fabless semiconductor company, we rely on third-party semiconductor fabricators in Asia, and to a lesser extent the United States and Europe, to manufacture the silicon wafers that reflect our integrated circuit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Period Highlights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$39.6 million in the recent quarter compared to the third quarter of fiscal 2024 due to increased revenues from our Home &amp; Life products and our Industrial &amp; Commercial products. Gross profit increased $28.7 million during the same period primarily as a result of the increase in revenues. Gross margin increased to 57.8% in the recent quarter compared to 54.3% in the third quarter of fiscal 2024 as our indirect and overhead expenses decreased as a percentage of revenues. Operating expenses increased by $11.3 million in the recent quarter compared to the third quarter of fiscal 2024 primarily due to higher personnel-related costs. Operating loss in the recent quarter was $12.3 million compared to operating loss of $29.7 million in the third quarter of fiscal 2024. Refer to “Results of Operations” below for further discussion.</w:t>
      </w:r>
    </w:p>
    <w:p>
      <w:pPr>
        <w:spacing w:after="0" w:line="18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ended the third quarter of fiscal 2025 with $439.0 million in cash, cash equivalents, and short-term investments. Net cash provided by operating activities was $87.4 million during the current year nine-month period. Accounts receivable were $67.3 million at October 4, 2025, representing 29 days sales outstanding (“DSO”). Inventory was $82.2 million at October 4, 2025, representing 85 days of inventory (“DOI”).</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4, 2025,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more than 10% of our revenues during the nine months ended October 4, 2025.</w:t>
      </w:r>
    </w:p>
    <w:p>
      <w:pPr>
        <w:spacing w:after="0" w:line="18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percentage of our revenues derived from outside of the United States was 89% during the nine months ended October 4, 2025. All of our revenues to date have been denominated in U.S. dollars. We believe that a majority of our revenues will continue to be derived from customers outside of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line items set forth in our Condensed Consolidated Statements of Operations:</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are generated predominately by sales of our products. Our revenues are subject to variation from period to period due to the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shipments made within a period, the mix of products we sell, and the prices we charge for our products.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includes the cost of purchasing finished silicon wafers processed by independent foundries; costs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test and shipping of those products; costs of personnel and equipment associated with manufacturing support, logistics, and quality assurance; costs of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personnel-related expenses, including stock-based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consists primarily of personnel-related expenses, including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well as an allocated portion of our occupancy costs, sales commissions to independent sales representatives, amortization of intangible assets, professional fees, legal fees, and promotional and marketing expenses.</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reflects interest earned on our cash, cash equivalents and investment balances,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remeasurement adjustments, and other non-operating income and expenses.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consists of interest on our short and long-term obligations, our credit facility, and amortization of debt issuance costs.</w:t>
      </w:r>
    </w:p>
    <w:p>
      <w:pPr>
        <w:spacing w:after="0" w:line="22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 xml:space="preserve">Provision for income taxes includes both domestic and foreign income taxes at the applicable tax rates adjusted for non-deductible expenses, research and development tax credits, deemed foreign income inclusions, and other permanent differences. See Note 10,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to the Condensed Consolidated Financial Statements.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as a percentage of revenues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5"/>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80" w:type="dxa"/>
            <w:vAlign w:val="bottom"/>
          </w:tcPr>
          <w:p>
            <w:pPr>
              <w:spacing w:after="0"/>
              <w:rPr>
                <w:sz w:val="13"/>
                <w:szCs w:val="13"/>
                <w:color w:val="auto"/>
              </w:rPr>
            </w:pPr>
          </w:p>
        </w:tc>
        <w:tc>
          <w:tcPr>
            <w:tcW w:w="2040" w:type="dxa"/>
            <w:vAlign w:val="bottom"/>
            <w:gridSpan w:val="7"/>
          </w:tcPr>
          <w:p>
            <w:pPr>
              <w:ind w:left="4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3"/>
                <w:szCs w:val="13"/>
                <w:color w:val="auto"/>
              </w:rPr>
            </w:pPr>
          </w:p>
        </w:tc>
        <w:tc>
          <w:tcPr>
            <w:tcW w:w="11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3"/>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5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(6.0)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6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2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(4.6)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3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40" w:type="dxa"/>
            <w:vAlign w:val="bottom"/>
          </w:tcPr>
          <w:p>
            <w:pPr>
              <w:spacing w:after="0"/>
              <w:rPr>
                <w:sz w:val="13"/>
                <w:szCs w:val="13"/>
                <w:color w:val="auto"/>
              </w:rPr>
            </w:pPr>
          </w:p>
        </w:tc>
        <w:tc>
          <w:tcPr>
            <w:tcW w:w="1040" w:type="dxa"/>
            <w:vAlign w:val="bottom"/>
            <w:gridSpan w:val="2"/>
          </w:tcPr>
          <w:p>
            <w:pPr>
              <w:jc w:val="right"/>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40" w:type="dxa"/>
            <w:vAlign w:val="bottom"/>
          </w:tcPr>
          <w:p>
            <w:pPr>
              <w:spacing w:after="0"/>
              <w:rPr>
                <w:sz w:val="13"/>
                <w:szCs w:val="13"/>
                <w:color w:val="auto"/>
              </w:rPr>
            </w:pPr>
          </w:p>
        </w:tc>
        <w:tc>
          <w:tcPr>
            <w:tcW w:w="11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2"/>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c>
          <w:tcPr>
            <w:tcW w:w="5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21.9 %</w:t>
            </w:r>
          </w:p>
        </w:tc>
        <w:tc>
          <w:tcPr>
            <w:tcW w:w="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166.4</w:t>
            </w:r>
          </w:p>
        </w:tc>
        <w:tc>
          <w:tcPr>
            <w:tcW w:w="5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23.8 %</w:t>
            </w:r>
          </w:p>
        </w:tc>
        <w:tc>
          <w:tcPr>
            <w:tcW w:w="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increase in revenues in the recent three-month period was due to increased revenues of $21.1 million from our Industrial &amp; Commercial products and increased revenues of $18.5 million from our Home &amp; Life products. The increase in revenues in the recent nine-month period was due to increased revenues of $73.6 million from our Industrial &amp; Commercial products and increased revenues of $84.9 million from our Home &amp; Life products. Revenues increased in the recent three and nine-month periods as a result of increases in unit volumes and average selling prices of our products, as the current demand environment has improved relative to the prior year, which was impacted by customers reducing inventory levels relative to amounts they held during the period of widespread supply chain disruptions. The average selling prices of our products may fluctuate significantly from period to period due to changes in product mix, pricing decisions and other factors. In general, as our products become more mature, we expect to experience decreases in average selling prices.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8"/>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8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102.9</w:t>
            </w:r>
          </w:p>
        </w:tc>
      </w:tr>
      <w:tr>
        <w:trPr>
          <w:trHeight w:val="24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54.3 %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30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during the recent three and nine-month period primarily as a result of increases in revenues in the periods. Gross margin increased as our indirect and overhead expenses decreased as a percentage of revenues in the recent three and nine-month period as a result of the increase in revenues.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8"/>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0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4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0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5.4 %  $</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200" w:type="dxa"/>
            <w:vAlign w:val="bottom"/>
          </w:tcPr>
          <w:p>
            <w:pPr>
              <w:spacing w:after="0"/>
              <w:rPr>
                <w:sz w:val="21"/>
                <w:szCs w:val="21"/>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 the recent three-month period increased, with an increase of $10.7 million for personnel-related costs as a result of lower expenses in the prior year period due to cost containment measures, partially offset by decreases of $3.1 million for amortization of intangible assets and $2.8 million for new product introduction and software expense. Research and development expense in the recent nine-month period increased $31.3 million for personnel-related costs as a result of lower expenses in the prior year period due to cost containment measures, offset by $6.8 million of government incentives and decreases of $6.5 million for amortization of intangible assets and $5.2 million for new product introduction and software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8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60" w:type="dxa"/>
            <w:vAlign w:val="bottom"/>
          </w:tcPr>
          <w:p>
            <w:pPr>
              <w:spacing w:after="0"/>
              <w:rPr>
                <w:sz w:val="13"/>
                <w:szCs w:val="13"/>
                <w:color w:val="auto"/>
              </w:rPr>
            </w:pPr>
          </w:p>
        </w:tc>
        <w:tc>
          <w:tcPr>
            <w:tcW w:w="12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8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11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18.8 %  $</w:t>
            </w: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4"/>
        </w:trPr>
        <w:tc>
          <w:tcPr>
            <w:tcW w:w="2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3"/>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200" w:type="dxa"/>
            <w:vAlign w:val="bottom"/>
          </w:tcPr>
          <w:p>
            <w:pPr>
              <w:spacing w:after="0"/>
              <w:rPr>
                <w:sz w:val="21"/>
                <w:szCs w:val="21"/>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The increase in selling, general and administrative expense in the recent three-month period was primarily due to a $6.5 million increase in personnel-related costs as a result of lower expenses in the prior year period due to cost containment measures and a $0.7 million increase in IT-related costs. The increase in selling, general and administrative expense in the recent nine-month period was primarily due to a $18.2 million increase in personnel-related costs as a result of lower expenses in the prior year period due to cost containment measures and a $1.1 million increase in IT-related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Interest income and other, net for the three and nine months ended October 4, 2025 was $3.0 million and $10.7 million respectively, compared to $3.5 million and $9.0 million for the three and nine months ended September 28,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respectively. The decrease in interest income and other, net in the recent three-month period was primarily due to lower interest rates in the current year period as compared to the prior year period. The increase in interest income and other, net in the recent nine-month period was primarily due a higher cash and cash equivalents balance in the current year period as compared to the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three and nine months ended October 4, 2025 was $0.2 million and $0.8 million, respectively, compared to $0.3 million and $1.1 million for the three and nine months ended September 28, 2024, respectively. The decrease in the recent nine-month period was primarily due to a balance outstanding on the revolving credit facility for a portion of the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8"/>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30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decrease in the provision for income taxes for the three months ended October 4, 2025 is primarily due to the release of a liability for unrecognized tax benefits in the three months ended October 4, 2025 in comparison with the three months ended September 28, 2024. The decrease in the provision for income taxes for the nine months ended October 4, 2025 is primarily due to a decrease in tax expense related to the U.S. and Singapore valuation allowance in the nine months ended October 4, 2025 in comparison with the nine months ended September 28, 2024. Because of the valuation allowance, we are unable to recognize the full tax benefit of the pre-tax losses incurred in those jurisdictions in the current year. A valuation allowance is required to be established when it is more likely than not that some portion or all of a deferred tax asset will not be realized. We identified a need for the valuation allowance due to the presence of significant negative evidence, including recent operating losses and uncertainty around the timing of recovery in economic conditions within both the semiconductor industry and the broader economy. We intend to maintain the valuation allowance until our ability to forecast sufficient future sources of taxable income is reestablished.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sources of liquidity as of October 4, 2025 consisted of $439.0 million in cash, cash equivalents and short-term investments,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$220.8 million was held by our U.S. entities. The remaining balance was held by our foreign subsidiaries. Our cash equivalents and short-term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government debt securities, which include U.S. government securities; corporate debt securities, which include asset-backed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$87.4 million during the nine months ended October 4, 2025, compared to net cash used of $24.0 million during the nine months ended September 28, 2024. Operating cash flows during the nine months ended October 4, 2025 reflect our net loss of $62.2 million, adjustments of $91.5 million for depreciation, amortization, stock-based compensation, and deferred income taxes, and a net cash inflow of $58.1 million due to changes in our operating assets and liabilities.</w:t>
      </w:r>
    </w:p>
    <w:p>
      <w:pPr>
        <w:spacing w:after="0" w:line="180" w:lineRule="exact"/>
        <w:rPr>
          <w:sz w:val="20"/>
          <w:szCs w:val="20"/>
          <w:color w:val="auto"/>
        </w:rPr>
      </w:pPr>
    </w:p>
    <w:p>
      <w:pPr>
        <w:jc w:val="both"/>
        <w:ind w:right="440"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increased to $67.3 million at October 4, 2025 from $54.5 million at December 28, 2024. The increase in accounts receivable resulted primarily from normal variations in the timing of collections and billings. Our DSO was 29 days at October 4, 2025 and December 28, 2024.</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Inventory decreased to $82.2 million at October 4, 2025 from $105.6 million at December 28, 2024. Our inventory levels will vary based on the availability of supply and the impact of variations between forecasted demand used for purchasing inventory and actual demand. Our DOI was 85 days at October 4, 2025 and 125 days at December 28,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$20.8 million during the nine months ended October 4, 2025, compared to net cash provided of $151.3 million during the nine months ended September 28, 2024. The decrease in cash inflows was principally due to a decrease in cash provided by net purchases, sales, and maturities of marketable securities of $143.6 million in the current period, and proceeds received in the prior year of $12.4 million for the sale of an equity investment. Purchases of property and equipment increased $12.2 million during the nine months ended October 4, 2025 compared to the nine months ended September 28,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$6.8 million during the nine months ended October 4, 2025, compared to $51.7 million during the nine months ended September 28, 2024. The decrease in cash outflows was principally due to a $45.0 million repayment of borrowings under the revolving credit facility in the prior year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of October 4, 2025,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The credit facility contains various conditions, covenants, and representations with which we must be in compliance in order to borrow funds, including financial covenants that we must maintain a consolidated net leverage ratio (funded indebtedness less cash and cash equivalents up to $750 million and divided by EBITDA) of no more than 4.25 to 1, and a minimum interest coverage ratio (EBITDA/interest payments) of no less than 2.50 to 1. As of October 4, 2025, we were in compliance with all of the covenants and no amounts were outstanding on the revolving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are described in the Management’s Discussion and Analysis of Financial Condition and Results of Operations section of our Form 10-K for the fiscal year ended December 28, 2024. There have been no material subsequent changes to our critical accounting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October 4, 2025 would decrease our future annual interest income by approximately $3.4 million. We believe that our investment policy, which defines the duration, concentration, and minimum credit quality of the allowable investments, meets our investment objectives.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have no borrowings as of October 4, 2025. If we borrow from the credit facility in the future, we will again be exposed to interest rate fluctuations.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Condensed Consolidated Statements of Operations. We may use foreign currency forward contracts to manage exposure to foreign exchange risk. Gains and losses on foreign currency forward contracts designated as hedging instruments are recognized in earnings in the same period during which the hedged transaction is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website address is www.silabs.com. Our annual report on Form 10-K, quarterly reports on Form 10-Q, current reports on Form 8-K and amendments to those reports filed or furnished pursuant to Section 13(a) or 15(d) of the Securities Exchange Act of 1934, as amended,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October 4, 2025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controls during the fiscal quarter ended October 4, 2025 that materially affected, or is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is provided in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is incorporated by reference herein.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Business Risks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materially and adversely affected by tariffs, trade restrictions, and other barriers to international trade</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Restrictions on international trade, such as tariffs and other controls on imports or exports of goods and technology can adversely affect our business and supply chain. These trade restrictions may impact the cost and availability of raw materials, components, and finished goods, which could lead to supply chain disruptions, increased costs, and lower margins. There is currently significant uncertainty about the future relationship between the U.S. and various other countries with respect to trade policies and tariffs. Export restrictions imposed by the U.S. government, including the addition of licensing requirements by the United States Department of Commerce’s Bureau of Industry and Security (“BIS”) through the addition of companies to the BIS Entity List, could require us to suspend our business with certain entities if we conclude or are notified by the U.S. government that such business presents a risk of noncompliance with U.S. regulations. The global trade situation has been highly dynamic during fiscal 2025, and we cannot predict what actions may be taken with respect to tariffs or trade relations, what products may be subject to such actions, or what actions may be taken by other countries in response. In addition to the possibility of new or modified tariffs, sector-based trade measures may be implemented. For example, the U.S. Department of Commerce initiated an investigation into imports of semiconductors, semiconductor manufacturing equipment, and related products. The rapid and fluctuating changes in global trade policies have contributed to greater market volatility and general economic uncertainties, including the risk of inflation and recession, and could adversely affect customer demand, delay purchasing decisions, or limit our ability to operate efficiently in key markets. If we are unable to mitigate any negative impacts of tariffs, trade restrictions, or related market volatility through pricing adjustments, operational efficiencies, or alternative sourcing strategies, our business, financial condition, and results of operations could be materially and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cyclical nature of the semiconductor industry, which has been subject to significant fluctuations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Future downturns may adversely effect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within the numerous markets we target may reduce sales of our products and reduce our market share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markets for semiconductors in general, and for mixed-signal products in particular, are intensely competitive. We expect that the market for our products will continually evolve and will be subject to rapid technological change. For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example, new products and disruptive technologies are being developed, and companies with which we compete have implemented artificial intelligence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Broadcom,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may be the victim of business disruptions and security breaches, including cyber-attacks, which could lead to liability or could damage our reputation and financial results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Additionally, we use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 Additionally, there is an increased risk that we may experience cybersecurity-related events such as phishing attacks and other security challenges as a result of hybrid working arrangements and employees and our service providers working remotely.</w:t>
      </w:r>
    </w:p>
    <w:p>
      <w:pPr>
        <w:spacing w:after="0" w:line="1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the risk of cyber-attacks has increased in connection with the conflicts between Russia and Ukraine and in the Middle East. In light of those and other geopolitical events,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2022, the U.S. Cybersecurity and Infrastructure Security Agency issued a “Shields Up” alert for American organizations noting the potential for Russia’s cyber-attacks on Ukrainian government and critical infrastructure organizations to impact organizations both within and beyond the United States, particularly in the wake of sanctions imposed by the United States and its allies. These circumstances increase the likelihood of cyber-attacks and/or security breaches.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information technology failures that could damage our reputation, business operations and financial condition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for the effective operation of our business. Our systems are subject to damage or interruption from a number of potential sources, including natural disasters, accidents, power disruptions,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telecommunications failures, acts of terrorism or war, computer viruses, theft, physical or electronic break-ins, cyber-attacks, sabotage, vandalism, or similar events or disruptions, including those described in the risk factor entitled “</w:t>
      </w:r>
      <w:r>
        <w:rPr>
          <w:rFonts w:ascii="Times New Roman" w:cs="Times New Roman" w:eastAsia="Times New Roman" w:hAnsi="Times New Roman"/>
          <w:sz w:val="18"/>
          <w:szCs w:val="18"/>
          <w:i w:val="1"/>
          <w:iCs w:val="1"/>
          <w:color w:val="auto"/>
        </w:rPr>
        <w:t>We may be the victim of business disruptions and security breaches,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cyber-attacks, which could lead to liability or could damage our reputation and financial results</w:t>
      </w:r>
      <w:r>
        <w:rPr>
          <w:rFonts w:ascii="Times New Roman" w:cs="Times New Roman" w:eastAsia="Times New Roman" w:hAnsi="Times New Roman"/>
          <w:sz w:val="18"/>
          <w:szCs w:val="18"/>
          <w:color w:val="auto"/>
        </w:rPr>
        <w:t>,” above. Our security measures may not detect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prevent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spacing w:after="0" w:line="189"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 Additionally, a successful cyber-attack against one of these third parties’ information technology systems may disrupt our supply chain.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resources compared to some of our current and potential competitors and we may not be able to compete effectively and increase market share</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See the risk factor entitled “</w:t>
      </w: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could be materially and adversely affected by tariffs, trade restrictions, and other barriers to international trade</w:t>
      </w:r>
      <w:r>
        <w:rPr>
          <w:rFonts w:ascii="Times New Roman" w:cs="Times New Roman" w:eastAsia="Times New Roman" w:hAnsi="Times New Roman"/>
          <w:sz w:val="18"/>
          <w:szCs w:val="18"/>
          <w:color w:val="auto"/>
        </w:rPr>
        <w:t>”. Furthermore, our current or potential competitors may be acquired by third parties with greater available resources and the ability to initiate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spacing w:after="0" w:line="19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the current administration’s creation of the US Investment Accelerator and its negotiations of grants under the CHIPS Act may make the availability of any such incentives even less certain. If our competitors can benefit from such government incentives and we cannot, it could strengthen our competitors’ relative position and have a material adverse effect on our reputation and business.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in addition to those cited in other risk factors applicable to our business, may contribute to fluctuations in our revenues and operating results, including: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orders received from our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of our new product introductions and the rate at which our new products may cannibalize our older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acceptance of our products by our customers, including the acceptance of new products we may develop for integration in the products manufactured by such customers, which we refer to as “design wins”;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lag and realization rate between “design wins” and production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capacity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life cycles of, the products incorporating our mixed-signal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mixed-signal products in the markets we target;</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or reductions of customer orders in anticipation of new products or product enhancements from us or our competitors or other providers of mixed-signal ICs;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could drop suddenly due to competitive offerings or competitive predatory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generally decline over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currency exchange rates and any requirements for buying and/or selling in currencies other than the U.S. dollar;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inventory, equipment or other long-lived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in our products, including software provided by third parties, may not meet the needs of our customers;</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obtain other components such as capacitors that they need to incorporate in conjunction with our products, leading to potential downturn in the demand for our products;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 to defend our intellectual property rights or respond to claims against us; and</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new markets emerge for products we are currently developing or for which our design expertise can be utilized to develop products for these new markets.</w:t>
      </w:r>
    </w:p>
    <w:p>
      <w:pPr>
        <w:spacing w:after="0" w:line="18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to manufacture, assemble and test our products, which subjects us to risks of disruptions in our supply chain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significant risks associated with relying on these third-party foundries and subcontractors, including:</w:t>
      </w:r>
    </w:p>
    <w:p>
      <w:pPr>
        <w:spacing w:after="0" w:line="225" w:lineRule="exact"/>
        <w:rPr>
          <w:sz w:val="20"/>
          <w:szCs w:val="20"/>
          <w:color w:val="auto"/>
        </w:rPr>
      </w:pPr>
    </w:p>
    <w:p>
      <w:pPr>
        <w:ind w:left="5540" w:right="4700" w:hanging="5208"/>
        <w:spacing w:after="0" w:line="970"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customers or their end customers to qualify a selected supplier;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suppliers’ operations due to geopolitical changes, including risks related to deteriorating relations between China and Taiwan;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 third-party subcontractors;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or payments in advance for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need for international-based supply, logistics and financial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supply chain resulting from cyber-attacks on our suppliers’ information technology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inability to supply or support new or changing packaging technologies;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test yields.</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If our suppliers experience closures or reductions in their capacity utilization levels in the future, we may have difficulty sourcing materials necessary to fulfill production requirements. Public health crises, such as the COVID-19 pandemic, may affect our suppliers’ production capabilities as a result of quarantines, closures of production facilities, lack of supplies or delays caused by restrictions on travel.</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such as the COVID-19 outbreak,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are a global company, which subjects us to additional business risks including logistical and financial complexity, supply disruption, political instability and currency fluctuations</w:t>
      </w:r>
    </w:p>
    <w:p>
      <w:pPr>
        <w:spacing w:after="0" w:line="15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international subsidiaries and have opened offices in international markets to support our activities in Asia, the Americas and Europe. This has included the establishment of a headquarters in Singapore for non-U.S. operations. During the nine months ended October 4, 2025, the percentage of our revenues derived from outside of the United States was 89% (and the revenue associated with end customers in China was 14%, and revenue attributed to China based on shipped-to location was 32%). We may not be able to maintain or increase global market demand for our products. Our international operations are subject to a number of risks, including:</w:t>
      </w:r>
    </w:p>
    <w:p>
      <w:pPr>
        <w:spacing w:after="0" w:line="183" w:lineRule="exact"/>
        <w:rPr>
          <w:sz w:val="20"/>
          <w:szCs w:val="20"/>
          <w:color w:val="auto"/>
        </w:rPr>
      </w:pPr>
    </w:p>
    <w:p>
      <w:pPr>
        <w:ind w:left="660" w:right="4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and related tax obligations, including our headquarters for non-U.S. operations in Singapore;</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including trade restrictions, tariffs, export controls, quotas and other trade barriers, including China-U.S. trade policies;</w:t>
      </w:r>
    </w:p>
    <w:p>
      <w:pPr>
        <w:ind w:left="660" w:right="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tariffs imposed on certain countries and sanctions or export controls imposed on customers or suppliers may affect our ability to sell and source our products;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the protection of our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tax and other laws and regulations that may impact both our international and domestic tax and other liabilities and result in increased complexity and costs, including the impact of the Tax Cuts and Jobs Act, which increased our effective tax rate, in part due to the impact of the requirement to capitalize and amortize foreign research and development expenses beginning in 2022;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distributor inventory subject to price protection and rights of return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demand and the supply chain may be adversely affected by military conflict (including the ongoing conflict between Russia and Ukraine and tensions in the Middle East), terrorism, sanctions or other geopolitical events globally;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have business and operations systems that can meet the needs of our international business and operating structure.</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such as has occurred since the beginning of 2025, may reduce our buying power with respect to international suppliers. However, we may be required to buy or sell in other currencies as a result of changes in industry standards. Operating or transacting in currencies other than the U.S. dollar may result in enhanced volatility in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growth could materially and adversely affect our business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8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nine months ended October 4, 2025 was $263.7 million, or 45.7%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Competition for qualified personnel with significant experience in the design, development, manufacturing, marketing and sales of analog and mixed-signal products has been, and continues to be,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 In addition, changes to immigration laws and visa policies in the United States and other jurisdictions may restrict our ability to recruit or retain foreign nationals in key technical roles. For example, the September 2025 Presidential Proclamation on Restriction on Entry of Certain Nonimmigrant Workers imposes a $100,000 filing fee on all new H-1B visa petitions submitted after September 21, 2025, which increases the cost of hiring foreign national employees, and the Department of Homeland Security has proposed rules to implement a weighted lottery system based on wage levels for H-1B visas, which could disadvantage our ability to hire early-career or entry-level foreign national personnel. These regulatory constraints, including increased scrutiny or delays in visa processing, could limit our access to highly specialized talent and adversely affect our hiring flexibility and long-term innovation capacity.</w:t>
      </w:r>
    </w:p>
    <w:p>
      <w:pPr>
        <w:spacing w:after="0" w:line="1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our products for use in our customers’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and volume production of the products into which our ICs will be incorporated;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foundry, assembly and test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high manufacturing yields;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performance, power use and size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application support capabilities and responsiveness;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industry standards or end-user preferences;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third-party software providers and our semiconductor vendors to support our chips within a system.</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could disrupt our business and harm our financial condition</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may make in the future entail a number of risks that could materially and adversely affect our business and operating results, including: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technologies or products with our existing business and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financial resources above our planned investment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suppliers and customers of the acquired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prior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of licenses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due to acquired overhead;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earn-outs and escrows;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related goodwill and intangible assets.</w:t>
      </w:r>
    </w:p>
    <w:p>
      <w:pPr>
        <w:spacing w:after="0" w:line="20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average selling prices of our products could decrease rapidly which may negatively impact our revenues and gross profit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manage our distribution channel relationships could impede our future growth</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future growth of our business will depend in large part on our ability to manage our relationships with current and future distributors and sales representatives, develop additional channels for the distribution and sale of our products and</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manage these relationships. During the nine months ended October 4, 2025, 70% of our revenue was derived from distributors (and 48%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have long-term commitments from our customers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80"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Customers may decide not to purchase our products at all, purchase fewer products than they did in the past, or alter their purchasing patterns, particularly because:</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material long-term purchase contracts with our customers;</w:t>
      </w:r>
    </w:p>
    <w:p>
      <w:pPr>
        <w:spacing w:after="0" w:line="2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sales to date have been made on a purchase order basis, which permits our customers to cancel, change or delay product purchase commitments with little or no notice to us and without penalty;</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have efforts underway to actively diversify their vendor base which could reduce purchases of our products; and</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could adversely affect our business, results of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COVID-19 pandemic negatively impacted the global economy, disrupted our operations, global supply chains and the operations of our customers.</w:t>
      </w:r>
    </w:p>
    <w:p>
      <w:pPr>
        <w:spacing w:after="0" w:line="23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impacts of any future public health crises on our business, customers, suppliers, employees, markets and financial results and condition are uncertain and dependent on numerous unpredictable factors outside of our control, including:</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impact of a global economic recession or depression that could reduce demand and/or pricing for our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and supply chain (and the business and supply chains of our customers) in connection with the sourcing of materials, equipment and engineering support, and services from geographic areas impacted by the public health crisis, including disruptions caused by illnesses, quarantines and restrictions on people’s ability to work, office and factory closures, disruptions to ports and other shipping infrastructure, border closures, and other travel or health-related restrictions;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limitations on the ability of our customers to make timely payments;</w:t>
      </w:r>
    </w:p>
    <w:p>
      <w:pPr>
        <w:spacing w:after="0" w:line="9" w:lineRule="exact"/>
        <w:rPr>
          <w:rFonts w:ascii="Times New Roman" w:cs="Times New Roman" w:eastAsia="Times New Roman" w:hAnsi="Times New Roman"/>
          <w:sz w:val="18"/>
          <w:szCs w:val="18"/>
          <w:color w:val="auto"/>
        </w:rPr>
      </w:pPr>
    </w:p>
    <w:p>
      <w:pPr>
        <w:ind w:left="660" w:right="7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to limit exposure to and spreading of such infectious diseases, such as travel restrictions, quarantines and business shutdowns or slowdowns, facility closures or other restrictions;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1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and financial markets that could limit our ability to obtain external financing to fund our operations and capital expenditures or to refinance our existing indebtedness;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asset impairments, including goodwill, intangible assets, investments and other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cyber-related risks due to hybrid working models and increased remote working;</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implementing and managing a hybrid model of working from home or the office, establishing appropriate office safety protocols, maintaining our corporate culture, and continuing to attract, retain and motivate our employees;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our computer systems or communication systems;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Investment-related risks, including difficulties in liquidating investments due to current market conditions and adverse investment performance.</w:t>
      </w:r>
    </w:p>
    <w:p>
      <w:pPr>
        <w:spacing w:after="0" w:line="207"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decrease in sales resulting from any public health crisis will be offset by increased sales in subsequent periods. Even after any public health crisis has subsided, we may continue to experience materially adverse impacts to our business as a result of its global economic impact, including any recession, economic downturn or increased unemployment that has occurred or may occur in the future. An extended period of global supply chain and economic disruption could materially affect our business, results of operations, access to sources of liquidity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may contain errors which could lead to liability, an increase in our costs and/or a reduction in our revenues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Additionally, we have used and may increase our use of new technology such as AI or generative AI to enhance our products, decrease our development times, or improve our customers’ efficiency. Evolving rules, regulations and industry standards governing AI may require us to incur greater compliance costs and restrict the use of AI in our products or technologies.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risks related to intellectual property infringement or misappropriation, data privacy and cyber security vulnerabilities. Any ineffective AI usage could negatively impact our or our customer’s business reputation and negatively impact our competitive standing.</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require our products to undergo a lengthy and expensive qualification process without any assurance of product sales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Prior to purchasing our products, our customers require that our products undergo an extensive qualification process, which involves testing of the products in the customer’s system as well as rigorous reliability testing. This qualification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any of our more significant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continued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technological standards or changes to existing standards that we are unable to address with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release new products or enhanced versions of our existing products on a timely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new products to achieve market acceptance.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dispositions could harm our financial condition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Any disposition of a business or product line that we have made and may make in the future would entail a number of risks that could materially and adversely affect our business and operating results, including:</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separating the divested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relations with customers who previously purchased products from our disposed product 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leverage with suppliers due to reduced aggregate volume;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 relations;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disposition is not completed on the expected timeline,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and licensing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do not realize the anticipated benefits from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third-party claims arising out of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and other liabilities related to the transition services provided in connection with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dispositions;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Disposition-related disputes, including disputes over earn-outs and escrows.</w:t>
      </w:r>
    </w:p>
    <w:p>
      <w:pPr>
        <w:spacing w:after="0" w:line="203"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spacing w:after="0" w:line="13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customers to support our products, and some of our customers offer competing products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Additionally, in certain products, some of our customers offer their own competitive products. These customers may find it advantageous to support their own offerings in the marketplace in lieu of promoting or using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privacy and data security/protection laws could have an adverse effect on our operations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or may become subject to a variety of laws and regulations such as the European Union’s General Data Protection Regulation (“GDPR”) regarding privacy, data protection and data security.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must conform to industry standards and technology in order to be accepted by end users in our markets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relatively new and is continuously evolving. Furthermore, products in the IoT market frequently require interoperability across multiple standards. We may need to adjust our portfolio to meet the needs of this evolving market through acquisitions or significant new investments in research and development.</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7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previously identified a material weakness in our internal control over financial reporting. Although we have remediated this material weakness, we may identify additional material weaknesses or other deficiencies in the future or otherwise fail to maintain an effective system of internal controls, including disclosure controls 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and this could result in material misstatements of our financial statements or cause us to fail to meet our reporting obligations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previously identified a material weakness that existed as of the end of our fiscal 2023 regarding our internal controls over inventory valuation, primarily the undue reliance on forecasted inventory demand which was not subjected to a sufficient level of management review. As a result of this material weakness,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had been remediated. While the material weakness was remediated, we continue to seek improvements to enhance our control environment and to strengthen our internal controls to provide reasonable assurance that our financial statements continue to be fairly stated in all material respects.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Should new material weaknesses arise or be discovered in the future, material misstatements could occur and go undetected in our interim or annual consolidated financial statements. If we fail to remediate any future material weaknesses or maintain proper and effective internal control over financial reporting in the future, we may be required to restate our financial statements, experience delays in satisfying our reporting obligations or fail to comply with SEC rules and regulations, which could result in investigations and sanctions by regulatory authorities. Any of these results could adversely affect our business and the value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Risks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litigation over intellectual property in our industry may cause us to become involved in costly and lengthy litigation which could adversely affect our business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selling or manufacturing certain products, services or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which license may require the payment of substantial royalties or may not be available on reasonable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costs, time delays and lost business opportunities to develop alternative technologies or redesign products;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legal remedies with third parties to enforce our indemnification rights, which may not adequately protect our interests.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which would negatively affect our ability to compete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incorporate technology licensed from third parties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Times New Roman" w:cs="Times New Roman" w:eastAsia="Times New Roman" w:hAnsi="Times New Roman"/>
          <w:sz w:val="18"/>
          <w:szCs w:val="18"/>
          <w:i w:val="1"/>
          <w:iCs w:val="1"/>
          <w:color w:val="auto"/>
        </w:rPr>
        <w:t>Significant litigation over intellectual property in our industry may cause us to become involved in costly and lengthy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which could seriously harm our business. </w:t>
      </w:r>
      <w:r>
        <w:rPr>
          <w:rFonts w:ascii="Times New Roman" w:cs="Times New Roman" w:eastAsia="Times New Roman" w:hAnsi="Times New Roman"/>
          <w:sz w:val="18"/>
          <w:szCs w:val="18"/>
          <w:color w:val="auto"/>
        </w:rPr>
        <w:t>Furthermore, any failure of third-party technology to perform properly would adversely affect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incorporating such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Credit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financial services industry could adversely affect our operations and financial condition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credit risks related to our accounts receivable</w:t>
      </w:r>
    </w:p>
    <w:p>
      <w:pPr>
        <w:spacing w:after="0" w:line="22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borrowings under our credit agreement or other indebtedness could adversely affect our operations and financial condition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the fiscal first quarter of 2025 and in February 2025 we received an extension of the waiver through the third quarter of 2025. We did not have any outstanding indebtedness under the credit facility while the waiver was in effect. We have not renewed or extended the waiver as of October 4, 2025. However, if we breach any of the covenants under our credit facility and do not obtain appropriate waivers, then, subject to any applicable cure periods, any outstanding indebtedness thereunder could be declared immediately due and payable.</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could seek to raise additional debt or equity capital in the future, but additional capital may not be available on terms acceptable to us, or at all</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Governance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semiconductor companies;</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decrease in sales to, one or more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sale of stock by a significant shareholder;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the issuance of our stock in connection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removal of our stock to or from a stock index fund;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07"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prevent, delay or impede a change in control of us and may reduce the market price of our common stock</w:t>
      </w:r>
    </w:p>
    <w:p>
      <w:pPr>
        <w:spacing w:after="0" w:line="15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to be elected on a staggered basis, one class each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our preferred stock in one or more series without further authorization of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supermajority vote be obtained to amend or repeal certain provisions of our certificate of incorporation.</w:t>
      </w:r>
    </w:p>
    <w:p>
      <w:pPr>
        <w:spacing w:after="0" w:line="20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October 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purchase or sale of our securities by our directors and officers (as defined under Rule 16b-1(f) of the Exchange Act) intended to satisfy the affirmative defense conditions of Rule 10b5-1(c), entered into during the quarter ended October 4, 2025. There were no non-Rule 10b5-1 trading arrangements entered into or terminated during the quarter ended October 4,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Purchased or</w:t>
            </w: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Adoption of</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Sold Pursuant to the</w:t>
            </w:r>
          </w:p>
        </w:tc>
      </w:tr>
      <w:tr>
        <w:trPr>
          <w:trHeight w:val="20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 of Director or Officer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Duration of the Arrangement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3"/>
        </w:trPr>
        <w:tc>
          <w:tcPr>
            <w:tcW w:w="4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Brandon Tolany</w:t>
            </w:r>
          </w:p>
        </w:tc>
        <w:tc>
          <w:tcPr>
            <w:tcW w:w="192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8"/>
              </w:rPr>
              <w:t>August 29, 2025</w:t>
            </w:r>
          </w:p>
        </w:tc>
        <w:tc>
          <w:tcPr>
            <w:tcW w:w="26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Expires September 1, 2026</w:t>
            </w:r>
          </w:p>
        </w:tc>
        <w:tc>
          <w:tcPr>
            <w:tcW w:w="1940" w:type="dxa"/>
            <w:vAlign w:val="bottom"/>
            <w:shd w:val="clear" w:color="auto" w:fill="CCEEFF"/>
          </w:tcPr>
          <w:p>
            <w:pPr>
              <w:jc w:val="right"/>
              <w:ind w:right="642"/>
              <w:spacing w:after="0" w:line="202" w:lineRule="exact"/>
              <w:rPr>
                <w:sz w:val="20"/>
                <w:szCs w:val="20"/>
                <w:color w:val="auto"/>
              </w:rPr>
            </w:pPr>
            <w:r>
              <w:rPr>
                <w:rFonts w:ascii="Times New Roman" w:cs="Times New Roman" w:eastAsia="Times New Roman" w:hAnsi="Times New Roman"/>
                <w:sz w:val="18"/>
                <w:szCs w:val="18"/>
                <w:color w:val="auto"/>
              </w:rPr>
              <w:t>16,200</w:t>
            </w:r>
          </w:p>
        </w:tc>
      </w:tr>
      <w:tr>
        <w:trPr>
          <w:trHeight w:val="25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Senior VP, Worldwide Sales, Marketing &amp; Applications</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Nina Richardson</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6, 2025</w:t>
            </w:r>
          </w:p>
        </w:tc>
        <w:tc>
          <w:tcPr>
            <w:tcW w:w="2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Expires August 17, 2026</w:t>
            </w:r>
          </w:p>
        </w:tc>
        <w:tc>
          <w:tcPr>
            <w:tcW w:w="19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1,355</w:t>
            </w:r>
          </w:p>
        </w:tc>
      </w:tr>
      <w:tr>
        <w:trPr>
          <w:trHeight w:val="25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905"/>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tc>
        <w:tc>
          <w:tcPr>
            <w:tcW w:w="0" w:type="dxa"/>
            <w:vAlign w:val="bottom"/>
          </w:tcPr>
          <w:p>
            <w:pPr>
              <w:spacing w:after="0"/>
              <w:rPr>
                <w:sz w:val="1"/>
                <w:szCs w:val="1"/>
                <w:color w:val="auto"/>
              </w:rPr>
            </w:pPr>
          </w:p>
        </w:tc>
      </w:tr>
      <w:tr>
        <w:trPr>
          <w:trHeight w:val="391"/>
        </w:trPr>
        <w:tc>
          <w:tcPr>
            <w:tcW w:w="1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Exhibit</w:t>
            </w: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Number</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40" w:type="dxa"/>
            <w:vAlign w:val="bottom"/>
            <w:gridSpan w:val="5"/>
            <w:vMerge w:val="restart"/>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Fifth Amended and Restated Certificate of Incorporation (filed as Exhibit 3.1 to the Form 10-Q filed on August 5, 2025).</w:t>
              </w:r>
            </w:hyperlink>
          </w:p>
        </w:tc>
        <w:tc>
          <w:tcPr>
            <w:tcW w:w="190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4"/>
                <w:szCs w:val="14"/>
                <w:color w:val="auto"/>
              </w:rPr>
            </w:pPr>
          </w:p>
        </w:tc>
        <w:tc>
          <w:tcPr>
            <w:tcW w:w="7840" w:type="dxa"/>
            <w:vAlign w:val="bottom"/>
            <w:tcBorders>
              <w:bottom w:val="single" w:sz="8" w:color="0000FF"/>
            </w:tcBorders>
            <w:gridSpan w:val="5"/>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9740" w:type="dxa"/>
            <w:vAlign w:val="bottom"/>
            <w:gridSpan w:val="7"/>
          </w:tcPr>
          <w:p>
            <w:pPr>
              <w:spacing w:after="0"/>
              <w:rPr>
                <w:rFonts w:ascii="Times New Roman" w:cs="Times New Roman" w:eastAsia="Times New Roman" w:hAnsi="Times New Roman"/>
                <w:sz w:val="16"/>
                <w:szCs w:val="16"/>
                <w:color w:val="0000EE"/>
              </w:rPr>
            </w:pPr>
            <w:hyperlink r:id="rId55">
              <w:r>
                <w:rPr>
                  <w:rFonts w:ascii="Times New Roman" w:cs="Times New Roman" w:eastAsia="Times New Roman" w:hAnsi="Times New Roman"/>
                  <w:sz w:val="16"/>
                  <w:szCs w:val="16"/>
                  <w:color w:val="0000EE"/>
                </w:rPr>
                <w:t>Sixth Amended and Restated Bylaws of Silicon Laboratories Inc. (filed as Exhibit 3.1 to the Form 8-K filed on April 21, 2023).</w:t>
              </w:r>
            </w:hyperlink>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8260" w:type="dxa"/>
            <w:vAlign w:val="bottom"/>
            <w:tcBorders>
              <w:top w:val="single" w:sz="8" w:color="0000EE"/>
            </w:tcBorders>
            <w:gridSpan w:val="6"/>
          </w:tcPr>
          <w:p>
            <w:pPr>
              <w:spacing w:after="0"/>
              <w:rPr>
                <w:rFonts w:ascii="Times New Roman" w:cs="Times New Roman" w:eastAsia="Times New Roman" w:hAnsi="Times New Roman"/>
                <w:sz w:val="16"/>
                <w:szCs w:val="16"/>
                <w:color w:val="0000EE"/>
              </w:rPr>
            </w:pPr>
            <w:hyperlink r:id="rId56">
              <w:r>
                <w:rPr>
                  <w:rFonts w:ascii="Times New Roman" w:cs="Times New Roman" w:eastAsia="Times New Roman" w:hAnsi="Times New Roman"/>
                  <w:sz w:val="16"/>
                  <w:szCs w:val="16"/>
                  <w:color w:val="0000EE"/>
                </w:rPr>
                <w:t>Specimen certificate for shares of common stock (filed as Exhibit 4.1 to the IPO Registration Statement).</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Certification of the Principal Executive Officer, as required by Section 302 of the Sarbanes-Oxley Act of 2002.</w:t>
            </w: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71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Certification of the Principal Financial Officer, as required by Section 302 of the Sarbanes-Oxley Act of 2002.</w:t>
            </w:r>
          </w:p>
        </w:tc>
        <w:tc>
          <w:tcPr>
            <w:tcW w:w="2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4"/>
                <w:szCs w:val="24"/>
                <w:color w:val="auto"/>
              </w:rPr>
            </w:pPr>
          </w:p>
        </w:tc>
        <w:tc>
          <w:tcPr>
            <w:tcW w:w="71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Certification as required by Section 906 of the Sarbanes-Oxley Act of 2002.</w:t>
            </w:r>
          </w:p>
        </w:tc>
        <w:tc>
          <w:tcPr>
            <w:tcW w:w="2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392"/>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5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36"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2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w w:val="98"/>
              </w:rPr>
              <w:t>SILICON LABORATORIES INC.</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November 4,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 Matthew Johnson</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 Matthew Johnson</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November 4,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Dean Butler</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 Butler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 and</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November 4,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D. Mauldin</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D. Mauldin</w:t>
            </w:r>
          </w:p>
        </w:tc>
      </w:tr>
      <w:tr>
        <w:trPr>
          <w:trHeight w:val="256"/>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918"/>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42</w:t>
            </w: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Matthew Johnson,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43376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each of the undersigned officers of Silicon Laboratories Inc. (the “Company”) hereby certifies that:</w:t>
      </w:r>
    </w:p>
    <w:p>
      <w:pPr>
        <w:spacing w:after="0" w:line="162" w:lineRule="exact"/>
        <w:rPr>
          <w:sz w:val="20"/>
          <w:szCs w:val="20"/>
          <w:color w:val="auto"/>
        </w:rPr>
      </w:pPr>
    </w:p>
    <w:p>
      <w:pPr>
        <w:jc w:val="both"/>
        <w:ind w:firstLine="332"/>
        <w:spacing w:after="0" w:line="266" w:lineRule="auto"/>
        <w:tabs>
          <w:tab w:leader="none" w:pos="6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October 4, 2025 as filed with the Securities and Exchange Commission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right="220" w:firstLine="332"/>
        <w:spacing w:after="0" w:line="532" w:lineRule="auto"/>
        <w:tabs>
          <w:tab w:leader="none" w:pos="6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4, 2025</w:t>
      </w: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557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557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1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lvl w:ilvl="1">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4" Type="http://schemas.openxmlformats.org/officeDocument/2006/relationships/hyperlink" Target="https://www.sec.gov/Archives/edgar/data/1038074/000103807425000014/fifthamendedandrestatedcer.htm" TargetMode="External"/><Relationship Id="rId55" Type="http://schemas.openxmlformats.org/officeDocument/2006/relationships/hyperlink" Target="https://www.sec.gov/Archives/edgar/data/1038074/000110465923048435/tm2313328d2_ex3-1.htm" TargetMode="External"/><Relationship Id="rId56" Type="http://schemas.openxmlformats.org/officeDocument/2006/relationships/hyperlink" Target="https://www.sec.gov/Archives/edgar/data/1038074/0000912057-00-012321-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2025-11-04T08:23:58Z</dcterms:created>
  <dcterms:modified xsi:type="dcterms:W3CDTF">2025-11-04T08:23:58Z</dcterms:modified>
</cp:coreProperties>
</file>