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354965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0" w:lineRule="exact"/>
        <w:rPr>
          <w:sz w:val="24"/>
          <w:szCs w:val="24"/>
          <w:color w:val="auto"/>
        </w:rPr>
      </w:pPr>
    </w:p>
    <w:p>
      <w:pPr>
        <w:ind w:left="360" w:hanging="336"/>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06" w:lineRule="exact"/>
        <w:rPr>
          <w:sz w:val="24"/>
          <w:szCs w:val="24"/>
          <w:color w:val="auto"/>
        </w:rPr>
      </w:pPr>
    </w:p>
    <w:p>
      <w:pPr>
        <w:ind w:left="360" w:hanging="336"/>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For the transition period from _________to _________</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000-29823</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SILICON LABORATORIES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3"/>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60" w:type="dxa"/>
            <w:vAlign w:val="bottom"/>
          </w:tcPr>
          <w:p>
            <w:pPr>
              <w:spacing w:after="0"/>
              <w:rPr>
                <w:sz w:val="14"/>
                <w:szCs w:val="14"/>
                <w:color w:val="auto"/>
              </w:rPr>
            </w:pPr>
          </w:p>
        </w:tc>
        <w:tc>
          <w:tcPr>
            <w:tcW w:w="3880" w:type="dxa"/>
            <w:vAlign w:val="bottom"/>
            <w:gridSpan w:val="3"/>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74-2793174</w:t>
            </w:r>
          </w:p>
        </w:tc>
      </w:tr>
      <w:tr>
        <w:trPr>
          <w:trHeight w:val="185"/>
        </w:trPr>
        <w:tc>
          <w:tcPr>
            <w:tcW w:w="7340" w:type="dxa"/>
            <w:vAlign w:val="bottom"/>
            <w:gridSpan w:val="4"/>
          </w:tcPr>
          <w:p>
            <w:pPr>
              <w:jc w:val="center"/>
              <w:ind w:right="162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80" w:type="dxa"/>
            <w:vAlign w:val="bottom"/>
            <w:gridSpan w:val="3"/>
          </w:tcPr>
          <w:p>
            <w:pPr>
              <w:jc w:val="center"/>
              <w:ind w:right="162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6"/>
        </w:trPr>
        <w:tc>
          <w:tcPr>
            <w:tcW w:w="3980" w:type="dxa"/>
            <w:vAlign w:val="bottom"/>
            <w:gridSpan w:val="3"/>
          </w:tcPr>
          <w:p>
            <w:pPr>
              <w:jc w:val="center"/>
              <w:ind w:left="1589"/>
              <w:spacing w:after="0"/>
              <w:rPr>
                <w:sz w:val="20"/>
                <w:szCs w:val="20"/>
                <w:color w:val="auto"/>
              </w:rPr>
            </w:pPr>
            <w:r>
              <w:rPr>
                <w:rFonts w:ascii="Times New Roman" w:cs="Times New Roman" w:eastAsia="Times New Roman" w:hAnsi="Times New Roman"/>
                <w:sz w:val="14"/>
                <w:szCs w:val="14"/>
                <w:b w:val="1"/>
                <w:bCs w:val="1"/>
                <w:color w:val="auto"/>
              </w:rPr>
              <w:t>400 West Cesar Chavez, Austin, Texas</w:t>
            </w:r>
          </w:p>
        </w:tc>
        <w:tc>
          <w:tcPr>
            <w:tcW w:w="3360" w:type="dxa"/>
            <w:vAlign w:val="bottom"/>
          </w:tcPr>
          <w:p>
            <w:pPr>
              <w:spacing w:after="0"/>
              <w:rPr>
                <w:sz w:val="22"/>
                <w:szCs w:val="22"/>
                <w:color w:val="auto"/>
              </w:rPr>
            </w:pPr>
          </w:p>
        </w:tc>
        <w:tc>
          <w:tcPr>
            <w:tcW w:w="3880" w:type="dxa"/>
            <w:vAlign w:val="bottom"/>
            <w:gridSpan w:val="3"/>
          </w:tcPr>
          <w:p>
            <w:pPr>
              <w:jc w:val="right"/>
              <w:ind w:right="2529"/>
              <w:spacing w:after="0"/>
              <w:rPr>
                <w:sz w:val="20"/>
                <w:szCs w:val="20"/>
                <w:color w:val="auto"/>
              </w:rPr>
            </w:pPr>
            <w:r>
              <w:rPr>
                <w:rFonts w:ascii="Times New Roman" w:cs="Times New Roman" w:eastAsia="Times New Roman" w:hAnsi="Times New Roman"/>
                <w:sz w:val="14"/>
                <w:szCs w:val="14"/>
                <w:b w:val="1"/>
                <w:bCs w:val="1"/>
                <w:color w:val="auto"/>
              </w:rPr>
              <w:t>78701</w:t>
            </w:r>
          </w:p>
        </w:tc>
      </w:tr>
      <w:tr>
        <w:trPr>
          <w:trHeight w:val="185"/>
        </w:trPr>
        <w:tc>
          <w:tcPr>
            <w:tcW w:w="3980" w:type="dxa"/>
            <w:vAlign w:val="bottom"/>
            <w:gridSpan w:val="3"/>
          </w:tcPr>
          <w:p>
            <w:pPr>
              <w:jc w:val="center"/>
              <w:ind w:left="15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29"/>
              <w:spacing w:after="0"/>
              <w:rPr>
                <w:sz w:val="20"/>
                <w:szCs w:val="20"/>
                <w:color w:val="auto"/>
              </w:rPr>
            </w:pPr>
            <w:r>
              <w:rPr>
                <w:rFonts w:ascii="Times New Roman" w:cs="Times New Roman" w:eastAsia="Times New Roman" w:hAnsi="Times New Roman"/>
                <w:sz w:val="14"/>
                <w:szCs w:val="14"/>
                <w:color w:val="auto"/>
              </w:rPr>
              <w:t>(Zip Code)</w:t>
            </w:r>
          </w:p>
        </w:tc>
      </w:tr>
      <w:tr>
        <w:trPr>
          <w:trHeight w:val="322"/>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(512) 416-8500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5"/>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9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3"/>
        </w:trPr>
        <w:tc>
          <w:tcPr>
            <w:tcW w:w="3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82"/>
        </w:trPr>
        <w:tc>
          <w:tcPr>
            <w:tcW w:w="3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33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SLAB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35" w:lineRule="exact"/>
        <w:rPr>
          <w:sz w:val="24"/>
          <w:szCs w:val="24"/>
          <w:color w:val="auto"/>
        </w:rPr>
      </w:pPr>
    </w:p>
    <w:p>
      <w:pPr>
        <w:ind w:left="320" w:right="3300"/>
        <w:spacing w:after="0" w:line="22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7" w:lineRule="exact"/>
        <w:rPr>
          <w:sz w:val="24"/>
          <w:szCs w:val="24"/>
          <w:color w:val="auto"/>
        </w:rPr>
      </w:pPr>
    </w:p>
    <w:p>
      <w:pPr>
        <w:ind w:right="140" w:firstLine="3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ind w:right="380" w:firstLine="3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 w:lineRule="exact"/>
        <w:rPr>
          <w:sz w:val="24"/>
          <w:szCs w:val="24"/>
          <w:color w:val="auto"/>
        </w:rPr>
      </w:pPr>
    </w:p>
    <w:p>
      <w:pPr>
        <w:ind w:right="220" w:firstLine="3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ind w:left="360"/>
        <w:spacing w:after="0" w:line="161" w:lineRule="exact"/>
        <w:tabs>
          <w:tab w:leader="none" w:pos="2680" w:val="left"/>
          <w:tab w:leader="none" w:pos="4440" w:val="left"/>
          <w:tab w:leader="none" w:pos="6480" w:val="left"/>
          <w:tab w:leader="none" w:pos="88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91" w:lineRule="exact"/>
        <w:rPr>
          <w:sz w:val="24"/>
          <w:szCs w:val="24"/>
          <w:color w:val="auto"/>
        </w:rPr>
      </w:pPr>
    </w:p>
    <w:p>
      <w:pPr>
        <w:ind w:right="360" w:firstLine="320"/>
        <w:spacing w:after="0" w:line="288"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300" w:firstLine="3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60" w:firstLine="320"/>
        <w:spacing w:after="0" w:line="293"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60" w:firstLine="320"/>
        <w:spacing w:after="0" w:line="275"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4"/>
          <w:szCs w:val="14"/>
          <w:b w:val="1"/>
          <w:bCs w:val="1"/>
          <w:color w:val="auto"/>
        </w:rPr>
        <w:t>o</w:t>
      </w: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77" w:lineRule="exact"/>
        <w:rPr>
          <w:sz w:val="24"/>
          <w:szCs w:val="24"/>
          <w:color w:val="auto"/>
        </w:rPr>
      </w:pPr>
    </w:p>
    <w:p>
      <w:pPr>
        <w:ind w:firstLine="32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(June 29, 2024) was approximately $3.5 billion (assuming, for this purpose, that only directors and officers are deemed affiliates).</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32,457,680 shares of the registrant’s common stock issued and outstanding as of January 28, 2025.</w:t>
      </w:r>
    </w:p>
    <w:p>
      <w:pPr>
        <w:spacing w:after="0" w:line="10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3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Portions of the Proxy Statement for the registrant’s 2025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661670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81915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107315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17"/>
                <w:szCs w:val="17"/>
                <w:color w:val="auto"/>
              </w:rPr>
            </w:pPr>
          </w:p>
        </w:tc>
      </w:tr>
      <w:tr>
        <w:trPr>
          <w:trHeight w:val="4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w:t>
            </w:r>
          </w:p>
        </w:tc>
      </w:tr>
      <w:tr>
        <w:trPr>
          <w:trHeight w:val="38"/>
        </w:trPr>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0000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0000FF"/>
                <w:w w:val="96"/>
              </w:rPr>
              <w:t>Part I</w:t>
            </w:r>
          </w:p>
        </w:tc>
        <w:tc>
          <w:tcPr>
            <w:tcW w:w="880" w:type="dxa"/>
            <w:vAlign w:val="bottom"/>
            <w:tcBorders>
              <w:bottom w:val="single" w:sz="8" w:color="CCEEFF"/>
            </w:tcBorders>
            <w:gridSpan w:val="7"/>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2</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0000FF"/>
            </w:tcBorders>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1A.</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0000FF"/>
            </w:tcBorders>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7"/>
              </w:rPr>
              <w:t>Risk Factors</w:t>
            </w:r>
          </w:p>
        </w:tc>
        <w:tc>
          <w:tcPr>
            <w:tcW w:w="8140" w:type="dxa"/>
            <w:vAlign w:val="bottom"/>
            <w:tcBorders>
              <w:bottom w:val="single" w:sz="8" w:color="CCEEFF"/>
            </w:tcBorders>
            <w:gridSpan w:val="21"/>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w:t>
            </w: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1B.</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26</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1C.</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26</w:t>
            </w:r>
          </w:p>
        </w:tc>
      </w:tr>
      <w:tr>
        <w:trPr>
          <w:trHeight w:val="200"/>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20" w:type="dxa"/>
            <w:vAlign w:val="bottom"/>
            <w:tcBorders>
              <w:top w:val="single" w:sz="8" w:color="0000FF"/>
            </w:tcBorders>
            <w:gridSpan w:val="6"/>
          </w:tcPr>
          <w:p>
            <w:pPr>
              <w:spacing w:after="0" w:line="201" w:lineRule="exact"/>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Borders>
              <w:top w:val="single" w:sz="8" w:color="CCEEFF"/>
            </w:tcBorders>
            <w:gridSpan w:val="2"/>
          </w:tcPr>
          <w:p>
            <w:pPr>
              <w:spacing w:after="0"/>
              <w:rPr>
                <w:sz w:val="17"/>
                <w:szCs w:val="17"/>
                <w:color w:val="auto"/>
              </w:rPr>
            </w:pPr>
          </w:p>
        </w:tc>
        <w:tc>
          <w:tcPr>
            <w:tcW w:w="1000" w:type="dxa"/>
            <w:vAlign w:val="bottom"/>
            <w:tcBorders>
              <w:top w:val="single" w:sz="8" w:color="0000FF"/>
            </w:tcBorders>
            <w:gridSpan w:val="5"/>
          </w:tcPr>
          <w:p>
            <w:pPr>
              <w:spacing w:after="0" w:line="201" w:lineRule="exact"/>
              <w:rPr>
                <w:sz w:val="20"/>
                <w:szCs w:val="20"/>
                <w:color w:val="auto"/>
              </w:rPr>
            </w:pPr>
            <w:r>
              <w:rPr>
                <w:rFonts w:ascii="Times New Roman" w:cs="Times New Roman" w:eastAsia="Times New Roman" w:hAnsi="Times New Roman"/>
                <w:sz w:val="18"/>
                <w:szCs w:val="18"/>
                <w:color w:val="0000FF"/>
              </w:rPr>
              <w:t>Properties</w:t>
            </w:r>
          </w:p>
        </w:tc>
        <w:tc>
          <w:tcPr>
            <w:tcW w:w="8040" w:type="dxa"/>
            <w:vAlign w:val="bottom"/>
            <w:tcBorders>
              <w:top w:val="single" w:sz="8" w:color="CCEEFF"/>
            </w:tcBorders>
            <w:gridSpan w:val="20"/>
          </w:tcPr>
          <w:p>
            <w:pPr>
              <w:spacing w:after="0"/>
              <w:rPr>
                <w:sz w:val="17"/>
                <w:szCs w:val="17"/>
                <w:color w:val="auto"/>
              </w:rPr>
            </w:pPr>
          </w:p>
        </w:tc>
        <w:tc>
          <w:tcPr>
            <w:tcW w:w="900" w:type="dxa"/>
            <w:vAlign w:val="bottom"/>
            <w:tcBorders>
              <w:top w:val="single" w:sz="8" w:color="CCEEFF"/>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27</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3.</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27</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27</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0000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Part II</w:t>
            </w:r>
          </w:p>
        </w:tc>
        <w:tc>
          <w:tcPr>
            <w:tcW w:w="820" w:type="dxa"/>
            <w:vAlign w:val="bottom"/>
            <w:tcBorders>
              <w:bottom w:val="single" w:sz="8" w:color="CCEEFF"/>
            </w:tcBorders>
            <w:gridSpan w:val="6"/>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28</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29</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7.</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30</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7"/>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7A.</w:t>
            </w:r>
          </w:p>
        </w:tc>
        <w:tc>
          <w:tcPr>
            <w:tcW w:w="400" w:type="dxa"/>
            <w:vAlign w:val="bottom"/>
            <w:shd w:val="clear" w:color="auto" w:fill="CCEEFF"/>
          </w:tcPr>
          <w:p>
            <w:pPr>
              <w:spacing w:after="0"/>
              <w:rPr>
                <w:sz w:val="21"/>
                <w:szCs w:val="21"/>
                <w:color w:val="auto"/>
              </w:rPr>
            </w:pP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36</w:t>
            </w:r>
          </w:p>
        </w:tc>
      </w:tr>
      <w:tr>
        <w:trPr>
          <w:trHeight w:val="200"/>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gridSpan w:val="7"/>
          </w:tcPr>
          <w:p>
            <w:pPr>
              <w:spacing w:after="0" w:line="201" w:lineRule="exact"/>
              <w:rPr>
                <w:sz w:val="20"/>
                <w:szCs w:val="20"/>
                <w:color w:val="auto"/>
              </w:rPr>
            </w:pPr>
            <w:r>
              <w:rPr>
                <w:rFonts w:ascii="Times New Roman" w:cs="Times New Roman" w:eastAsia="Times New Roman" w:hAnsi="Times New Roman"/>
                <w:sz w:val="18"/>
                <w:szCs w:val="18"/>
                <w:color w:val="0000FF"/>
              </w:rPr>
              <w:t>Item 8.</w:t>
            </w:r>
          </w:p>
        </w:tc>
        <w:tc>
          <w:tcPr>
            <w:tcW w:w="400" w:type="dxa"/>
            <w:vAlign w:val="bottom"/>
            <w:tcBorders>
              <w:top w:val="single" w:sz="8" w:color="CCEEFF"/>
            </w:tcBorders>
          </w:tcPr>
          <w:p>
            <w:pPr>
              <w:spacing w:after="0"/>
              <w:rPr>
                <w:sz w:val="17"/>
                <w:szCs w:val="17"/>
                <w:color w:val="auto"/>
              </w:rPr>
            </w:pPr>
          </w:p>
        </w:tc>
        <w:tc>
          <w:tcPr>
            <w:tcW w:w="4260" w:type="dxa"/>
            <w:vAlign w:val="bottom"/>
            <w:tcBorders>
              <w:top w:val="single" w:sz="8" w:color="0000FF"/>
            </w:tcBorders>
            <w:gridSpan w:val="17"/>
          </w:tcPr>
          <w:p>
            <w:pPr>
              <w:spacing w:after="0" w:line="201"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80" w:type="dxa"/>
            <w:vAlign w:val="bottom"/>
            <w:tcBorders>
              <w:top w:val="single" w:sz="8" w:color="CCEEFF"/>
            </w:tcBorders>
            <w:gridSpan w:val="8"/>
          </w:tcPr>
          <w:p>
            <w:pPr>
              <w:spacing w:after="0"/>
              <w:rPr>
                <w:sz w:val="17"/>
                <w:szCs w:val="17"/>
                <w:color w:val="auto"/>
              </w:rPr>
            </w:pPr>
          </w:p>
        </w:tc>
        <w:tc>
          <w:tcPr>
            <w:tcW w:w="900" w:type="dxa"/>
            <w:vAlign w:val="bottom"/>
            <w:tcBorders>
              <w:top w:val="single" w:sz="8" w:color="CCEEFF"/>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9.</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9A.</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Item 9B.</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38</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FF"/>
              </w:rPr>
              <w:t>Item 9C.</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38</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7"/>
              </w:rPr>
              <w:t>Part III</w:t>
            </w:r>
          </w:p>
        </w:tc>
        <w:tc>
          <w:tcPr>
            <w:tcW w:w="760" w:type="dxa"/>
            <w:vAlign w:val="bottom"/>
            <w:tcBorders>
              <w:bottom w:val="single" w:sz="8" w:color="CCEEFF"/>
            </w:tcBorders>
            <w:gridSpan w:val="5"/>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10.</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39</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11.</w:t>
            </w:r>
          </w:p>
        </w:tc>
        <w:tc>
          <w:tcPr>
            <w:tcW w:w="440" w:type="dxa"/>
            <w:vAlign w:val="bottom"/>
            <w:gridSpan w:val="3"/>
            <w:shd w:val="clear" w:color="auto" w:fill="CCEEFF"/>
          </w:tcPr>
          <w:p>
            <w:pPr>
              <w:spacing w:after="0"/>
              <w:rPr>
                <w:sz w:val="17"/>
                <w:szCs w:val="17"/>
                <w:color w:val="auto"/>
              </w:rPr>
            </w:pP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39</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12.</w:t>
            </w:r>
          </w:p>
        </w:tc>
        <w:tc>
          <w:tcPr>
            <w:tcW w:w="440" w:type="dxa"/>
            <w:vAlign w:val="bottom"/>
            <w:gridSpan w:val="3"/>
          </w:tcPr>
          <w:p>
            <w:pPr>
              <w:spacing w:after="0"/>
              <w:rPr>
                <w:sz w:val="17"/>
                <w:szCs w:val="17"/>
                <w:color w:val="auto"/>
              </w:rPr>
            </w:pP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39</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FF"/>
            </w:tcBorders>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6"/>
              </w:rPr>
              <w:t>Item 13.</w:t>
            </w: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5400" w:type="dxa"/>
            <w:vAlign w:val="bottom"/>
            <w:tcBorders>
              <w:bottom w:val="single" w:sz="8" w:color="0000FF"/>
            </w:tcBorders>
            <w:gridSpan w:val="20"/>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3640" w:type="dxa"/>
            <w:vAlign w:val="bottom"/>
            <w:tcBorders>
              <w:bottom w:val="single" w:sz="8" w:color="CCEEFF"/>
            </w:tcBorders>
            <w:gridSpan w:val="5"/>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39</w:t>
            </w: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14.</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39</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128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Part IV</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00"/>
        </w:trPr>
        <w:tc>
          <w:tcPr>
            <w:tcW w:w="20" w:type="dxa"/>
            <w:vAlign w:val="bottom"/>
          </w:tcPr>
          <w:p>
            <w:pPr>
              <w:spacing w:after="0"/>
              <w:rPr>
                <w:sz w:val="17"/>
                <w:szCs w:val="17"/>
                <w:color w:val="auto"/>
              </w:rPr>
            </w:pPr>
          </w:p>
        </w:tc>
        <w:tc>
          <w:tcPr>
            <w:tcW w:w="1280" w:type="dxa"/>
            <w:vAlign w:val="bottom"/>
            <w:gridSpan w:val="9"/>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15.</w:t>
            </w:r>
          </w:p>
        </w:tc>
        <w:tc>
          <w:tcPr>
            <w:tcW w:w="9040" w:type="dxa"/>
            <w:vAlign w:val="bottom"/>
            <w:gridSpan w:val="25"/>
          </w:tcPr>
          <w:p>
            <w:pPr>
              <w:spacing w:after="0" w:line="201"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40</w:t>
            </w:r>
          </w:p>
        </w:tc>
      </w:tr>
      <w:tr>
        <w:trPr>
          <w:trHeight w:val="47"/>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1280" w:type="dxa"/>
            <w:vAlign w:val="bottom"/>
            <w:gridSpan w:val="9"/>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0000FF"/>
              </w:rPr>
              <w:t>Item 16.</w:t>
            </w:r>
          </w:p>
        </w:tc>
        <w:tc>
          <w:tcPr>
            <w:tcW w:w="904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42</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Cautionary Statement</w:t>
      </w:r>
    </w:p>
    <w:p>
      <w:pPr>
        <w:spacing w:after="0" w:line="218"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and statements that relate solely to historical facts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Silicon Laboratories Inc. is a leader in secure, intelligent wireless technology for a more connected world. Our integrated hardware and software platform, intuitive development tools, industry-leading ecosystem, and robust support help customers build advanced industrial, commercial, home, and life applications. We make it easy for developers to solve complex wireless challenges throughout the product lifecycle and get to market quickly with innovative solutions that transform industries, grow economies, and improve lives. </w:t>
      </w:r>
    </w:p>
    <w:p>
      <w:pPr>
        <w:spacing w:after="0" w:line="181"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We are pioneers in wireless innovation and have spent over two decades simplifying the complexity of radio frequency (“RF”) from silicon to cloud. Our leading platform, purpose-built for the Internet of Things (“IoT”), helps customers quickly create secure, intelligent, connected devices. Our team and technology assist customers in solving development challenges, including energy efficiency, to build connected devices for applications that support better health, innovative infrastructure, and sustainable cities.</w:t>
      </w:r>
    </w:p>
    <w:p>
      <w:pPr>
        <w:spacing w:after="0" w:line="181"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semiconductor devices leverage standard complementary metal oxide semiconductor (“CMOS”), a low-cost, widely available process technology. CMOS technology enables smaller, more cost-effective, and energy-efficient solutions. Our software expertise allows us to develop products for markets where intelligent data capture, high-performance processing, and communication are increasingly important product differentiators. We also focus design and engineering efforts on technologies that simplify and accelerate customer adoption of security features engineered into our silicon chips. Our expertise in analog-intensive, mixed-signal integrated chip (“IC”) design in CMOS, as well as in software development allows us to create new and innovative products that are highly integrated and secure, simplifying our customers’ designs and improving their time-to-market.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4" w:lineRule="exact"/>
        <w:rPr>
          <w:sz w:val="20"/>
          <w:szCs w:val="20"/>
          <w:color w:val="auto"/>
        </w:rPr>
      </w:pPr>
    </w:p>
    <w:p>
      <w:pPr>
        <w:ind w:right="20" w:firstLine="320"/>
        <w:spacing w:after="0" w:line="271" w:lineRule="auto"/>
        <w:rPr>
          <w:sz w:val="20"/>
          <w:szCs w:val="20"/>
          <w:color w:val="auto"/>
        </w:rPr>
      </w:pPr>
      <w:r>
        <w:rPr>
          <w:rFonts w:ascii="Times New Roman" w:cs="Times New Roman" w:eastAsia="Times New Roman" w:hAnsi="Times New Roman"/>
          <w:sz w:val="17"/>
          <w:szCs w:val="17"/>
          <w:color w:val="auto"/>
        </w:rPr>
        <w:t>The Internet of Things is about connecting embedded applications to the Internet. The phrase IoT describes the myriad of smart, connected devices that surround us today, deployed in a variety of home, life, commercial, and industrial applications. When MIT’s Kevin Ashton first used the phrase in 1999, he was promoting the possibilities of RFID, but today, the IoT describes an impressive array of devices and capabilities. Machine learning is bringing greater intelligence to the edge on battery-powered devices. The IoT is monitoring patients’ health 24/7 to send rich data to doctors miles away. Smart, connected devices detect water leaks to improve sustainability and manage bee colonies to strengthen the food supply. It’s an industry of variety and impact. Whether in a door lock or a heart monitor, a smart home thermostat, or a municipal energy grid, our solutions are improving life and the planet’s sustainability.</w:t>
      </w:r>
    </w:p>
    <w:p>
      <w:pPr>
        <w:spacing w:after="0" w:line="17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The IoT requires interaction between the analog world we live in and the digital world of computing, which drives the need for analog-intensive, mixed-signal circuits in a wide range of electronic products. Traditional mixed-signal designs relied upon solutions built with numerous, complex discrete analog and digital components. While these traditional designs provide the required functionality, they are often inefficient and inadequate for use in markets where size, cost, power consumption, performance, and security are increasingly important product differentiators. To improve their competitive position, electronics manufacturers must reduce the cost and complexity of their systems and enable new features or functionality to differentiate themselves from their competitors.</w:t>
      </w:r>
    </w:p>
    <w:p>
      <w:pPr>
        <w:spacing w:after="0" w:line="185" w:lineRule="exact"/>
        <w:rPr>
          <w:sz w:val="20"/>
          <w:szCs w:val="20"/>
          <w:color w:val="auto"/>
        </w:rPr>
      </w:pPr>
    </w:p>
    <w:p>
      <w:pPr>
        <w:ind w:right="80" w:firstLine="320"/>
        <w:spacing w:after="0" w:line="253" w:lineRule="auto"/>
        <w:rPr>
          <w:sz w:val="20"/>
          <w:szCs w:val="20"/>
          <w:color w:val="auto"/>
        </w:rPr>
      </w:pPr>
      <w:r>
        <w:rPr>
          <w:rFonts w:ascii="Times New Roman" w:cs="Times New Roman" w:eastAsia="Times New Roman" w:hAnsi="Times New Roman"/>
          <w:sz w:val="18"/>
          <w:szCs w:val="18"/>
          <w:color w:val="auto"/>
        </w:rPr>
        <w:t>Simultaneously, these manufacturers face accelerating time-to-market demands and must rapidly adapt to evolving industry standards and new technologies. Because analog-intensive, mixed-signal design expertise is difficult to find, these manufacturers increasingly are turning to third parties, like us, to provide advanced mixed-signal solutions. Mixed-signal design requires specific expertise and relies on creative, experienced engineers to deliver solutions that optimize speed, power, and performance despite the noisy digital environment and within the constraints of standard manufacturing processes. The development of this design expertise typically requires years of practical analog design experience under the guidance of a senior engineer, and engineers with the required level of skill and expertise are in short supply.</w:t>
      </w:r>
    </w:p>
    <w:p>
      <w:pPr>
        <w:spacing w:after="0" w:line="185" w:lineRule="exact"/>
        <w:rPr>
          <w:sz w:val="20"/>
          <w:szCs w:val="20"/>
          <w:color w:val="auto"/>
        </w:rPr>
      </w:pPr>
    </w:p>
    <w:p>
      <w:pPr>
        <w:ind w:right="420" w:firstLine="320"/>
        <w:spacing w:after="0" w:line="262" w:lineRule="auto"/>
        <w:rPr>
          <w:sz w:val="20"/>
          <w:szCs w:val="20"/>
          <w:color w:val="auto"/>
        </w:rPr>
      </w:pPr>
      <w:r>
        <w:rPr>
          <w:rFonts w:ascii="Times New Roman" w:cs="Times New Roman" w:eastAsia="Times New Roman" w:hAnsi="Times New Roman"/>
          <w:sz w:val="18"/>
          <w:szCs w:val="18"/>
          <w:color w:val="auto"/>
        </w:rPr>
        <w:t>Many IC solution providers lack sufficient analog expertise to develop compelling mixed-signal products. As a result, manufacturers of electronic devices value providers that can supply them with mixed-signal solutions offering greater functionality, smaller size, and lower power requirements at a reduced cost and shorter time-to-market. We have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breadth in our portfolio, depth of wireless connectivity expertise, and the focus on IoT to help its customers quickly bring our innovative ideas to market.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4"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We provide analog-intensive, mixed-signal solutions for use in a variety of electronic products in a broad range of applications for the IoT. We have built a leading wireless development platform and product portfolio for the IoT based on Bluetooth®, sub-GHz proprietary technologies, Wi - SUN, Thread, Wi-Fi®, Zigbee®, and Z-Wave®. Our products integrate complex mixed-signal functions that are frequently performed by numerous discrete components in competing products into a single chip, chipset or system-on-chip (“SoC”). By doing so, we create products that, when compared to many competing products, offer the following benefits:</w:t>
      </w:r>
    </w:p>
    <w:p>
      <w:pPr>
        <w:spacing w:after="0" w:line="186"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less printed circuit board (“PCB”) space;</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use of external components lowering the system cost and simplifying design;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superior performance improving our customers’ end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increased reliability and manufacturability, improving customer yields; and/or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system power requirements enabling smaller form factors and/or longer battery life.</w:t>
      </w:r>
    </w:p>
    <w:p>
      <w:pPr>
        <w:spacing w:after="0" w:line="201"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We have continued to diversify our product portfolio and introduce new products and solutions through both organic investment and acquisitions. The life cycles of our products are relatively long, given the amount of effort and time required in the design in process for our customers.</w:t>
      </w:r>
    </w:p>
    <w:p>
      <w:pPr>
        <w:spacing w:after="0" w:line="163" w:lineRule="exact"/>
        <w:rPr>
          <w:sz w:val="20"/>
          <w:szCs w:val="20"/>
          <w:color w:val="auto"/>
        </w:rPr>
      </w:pPr>
    </w:p>
    <w:p>
      <w:pPr>
        <w:ind w:right="520" w:firstLine="320"/>
        <w:spacing w:after="0" w:line="277" w:lineRule="auto"/>
        <w:rPr>
          <w:sz w:val="20"/>
          <w:szCs w:val="20"/>
          <w:color w:val="auto"/>
        </w:rPr>
      </w:pPr>
      <w:r>
        <w:rPr>
          <w:rFonts w:ascii="Times New Roman" w:cs="Times New Roman" w:eastAsia="Times New Roman" w:hAnsi="Times New Roman"/>
          <w:sz w:val="18"/>
          <w:szCs w:val="18"/>
          <w:color w:val="auto"/>
        </w:rPr>
        <w:t>Revenues during fiscal 2024, 2023 and 2022 were generated predominately by sales of our mixed-signal products. The following summarizes the products that we have introduced to customers: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Microcontrollers and Sensor Products</w:t>
      </w:r>
    </w:p>
    <w:p>
      <w:pPr>
        <w:spacing w:after="0" w:line="222"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Our EFM32™, EFM8™, 8051, wireless MCUs and wireless SoCs are based on numerous wireless protocols, including Bluetooth, sub-GHz proprietary technologies, Thread, Wi-Fi, Zigbee, and Z-Wave technologies. Our family of products are ideally suited to ultra-low power IoT embedded systems that include energy-friendly 8-bit mixed-signal microcontrollers, ultra-low power 32-bit microcontrollers, and wireless MCU connectivity solutions using the ARM® Cortex-M0+/M3/M4 and newer M33 cores. Single and multi-protocol SoC devices and modules provide flexible, highly integrated solutions designed to meet demanding requirements of IoT applications. The introduction of our Series 2 portfolio provides a greater focus on updatable device security which is becoming vital to the evolution and success of IoT. We bring enhanced capability to the industry, protecting user data, system keys, and manufacturer brands from malicious threats, both hands-on and internet-based. Our broad portfolio addresses a variety of target markets.</w:t>
      </w:r>
    </w:p>
    <w:p>
      <w:pPr>
        <w:spacing w:after="0" w:line="187" w:lineRule="exact"/>
        <w:rPr>
          <w:sz w:val="20"/>
          <w:szCs w:val="20"/>
          <w:color w:val="auto"/>
        </w:rPr>
      </w:pPr>
    </w:p>
    <w:p>
      <w:pPr>
        <w:ind w:right="280" w:firstLine="320"/>
        <w:spacing w:after="0" w:line="262" w:lineRule="auto"/>
        <w:rPr>
          <w:sz w:val="20"/>
          <w:szCs w:val="20"/>
          <w:color w:val="auto"/>
        </w:rPr>
      </w:pPr>
      <w:r>
        <w:rPr>
          <w:rFonts w:ascii="Times New Roman" w:cs="Times New Roman" w:eastAsia="Times New Roman" w:hAnsi="Times New Roman"/>
          <w:sz w:val="18"/>
          <w:szCs w:val="18"/>
          <w:color w:val="auto"/>
        </w:rPr>
        <w:t>Our sensor products include optical sensors (proximity, ambient light, gestures, and heart rate monitoring), as well as relative humidity (“RH”) / temperature sensors and Hall effect magnetic sensors. These devices leverage our mixed-signal capability to provide high accuracy process technology to improve performance and lower power consumption than competing parts.</w:t>
      </w:r>
    </w:p>
    <w:p>
      <w:pPr>
        <w:spacing w:after="0" w:line="176"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Our products are supported by Simplicity Studio™, which provides one-click access to design tools, documentation, software, and support resources. In-house protocol stacks and the Micrium® real-time operating system (“RTOS”) help simplify software development for IoT developers by coordinating and prioritizing multiprotocol connectivity, SoC peripherals and other system-level activities.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We group our products as Industrial &amp; Commercial or Home &amp; Life based on the target markets they address. These markets and their corresponding applications are described below:</w:t>
      </w:r>
    </w:p>
    <w:p>
      <w:pPr>
        <w:spacing w:after="0" w:line="212" w:lineRule="exact"/>
        <w:rPr>
          <w:sz w:val="20"/>
          <w:szCs w:val="20"/>
          <w:color w:val="auto"/>
        </w:rPr>
      </w:pPr>
    </w:p>
    <w:p>
      <w:pPr>
        <w:ind w:left="326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Target Market</w:t>
      </w:r>
      <w:r>
        <w:rPr>
          <w:sz w:val="20"/>
          <w:szCs w:val="20"/>
          <w:color w:val="auto"/>
        </w:rPr>
        <w:tab/>
      </w:r>
      <w:r>
        <w:rPr>
          <w:rFonts w:ascii="Times New Roman" w:cs="Times New Roman" w:eastAsia="Times New Roman" w:hAnsi="Times New Roman"/>
          <w:sz w:val="17"/>
          <w:szCs w:val="17"/>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Industrial &amp; Commercial</w:t>
      </w:r>
    </w:p>
    <w:p>
      <w:pPr>
        <w:sectPr>
          <w:pgSz w:w="11900" w:h="16838" w:orient="portrait"/>
          <w:cols w:equalWidth="0" w:num="1">
            <w:col w:w="10940"/>
          </w:cols>
          <w:pgMar w:left="320" w:top="121" w:right="639" w:bottom="1440" w:gutter="0" w:footer="0" w:header="0"/>
        </w:sect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Industrial IoT</w:t>
      </w:r>
    </w:p>
    <w:p>
      <w:pPr>
        <w:spacing w:after="0" w:line="49" w:lineRule="exact"/>
        <w:rPr>
          <w:sz w:val="20"/>
          <w:szCs w:val="20"/>
          <w:color w:val="auto"/>
        </w:rPr>
      </w:pPr>
    </w:p>
    <w:p>
      <w:pPr>
        <w:ind w:left="340" w:hanging="11"/>
        <w:spacing w:after="0" w:line="238" w:lineRule="auto"/>
        <w:rPr>
          <w:sz w:val="20"/>
          <w:szCs w:val="20"/>
          <w:color w:val="auto"/>
        </w:rPr>
      </w:pPr>
      <w:r>
        <w:rPr>
          <w:rFonts w:ascii="Times New Roman" w:cs="Times New Roman" w:eastAsia="Times New Roman" w:hAnsi="Times New Roman"/>
          <w:sz w:val="18"/>
          <w:szCs w:val="18"/>
          <w:color w:val="auto"/>
        </w:rPr>
        <w:t>The Industrial IoT market supports a diverse array of products and applications. Utilizing Industrial IoT enables companies to enhance production and efficiency, gain insights into processes, and predict faults before they lead to downtime. Our Industrial IoT solutions drive energy efficiency, operational excellence, and enables the intelligent and secure use of industrial assets. They simplify human-machine interfaces, improve convenience for electrical providers and consumers through smart metering, drives operational efficiency by adding wireless connectivity to street lights, sensors, and controls, optimize maintenance routines with IoT predictive maintenance, and enhance energy efficiency by allowing renewable energy integration in both residential and utility setting.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Commercial IoT</w:t>
      </w:r>
    </w:p>
    <w:p>
      <w:pPr>
        <w:spacing w:after="0" w:line="49" w:lineRule="exact"/>
        <w:rPr>
          <w:sz w:val="20"/>
          <w:szCs w:val="20"/>
          <w:color w:val="auto"/>
        </w:rPr>
      </w:pPr>
    </w:p>
    <w:p>
      <w:pPr>
        <w:ind w:left="340" w:right="260"/>
        <w:spacing w:after="0" w:line="239" w:lineRule="auto"/>
        <w:rPr>
          <w:sz w:val="20"/>
          <w:szCs w:val="20"/>
          <w:color w:val="auto"/>
        </w:rPr>
      </w:pPr>
      <w:r>
        <w:rPr>
          <w:rFonts w:ascii="Times New Roman" w:cs="Times New Roman" w:eastAsia="Times New Roman" w:hAnsi="Times New Roman"/>
          <w:sz w:val="18"/>
          <w:szCs w:val="18"/>
          <w:color w:val="auto"/>
        </w:rPr>
        <w:t>Commercial IoT, such as smart retail solutions, can increase retailer efficiency, reduce labor costs, and provide consumer insights by merging digital online e-commerce and physical stores into an omnichannel experience. Our smart retail solutions, such as electronic shelf labels, increase productivity and profitability via centralized and dynamic price management without the labor-intensive manual price updates. Our smart lighting solutions use wireless access points to enable indoor location services which track assets and consumer behavior and speed up click-and-collect ordering.</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Home &amp;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automation and control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metering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street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Renewable energy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Electric vehicle supply equipment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wearables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equipment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agriculture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buildings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Access controls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Asset tracking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Electronic shelf labels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Theft protection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Power tools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Enterprise access points</w:t>
      </w:r>
    </w:p>
    <w:p>
      <w:pPr>
        <w:spacing w:after="0" w:line="657" w:lineRule="exact"/>
        <w:rPr>
          <w:sz w:val="20"/>
          <w:szCs w:val="20"/>
          <w:color w:val="auto"/>
        </w:rPr>
      </w:pPr>
    </w:p>
    <w:p>
      <w:pPr>
        <w:sectPr>
          <w:pgSz w:w="11900" w:h="16838" w:orient="portrait"/>
          <w:cols w:equalWidth="0" w:num="2">
            <w:col w:w="7580" w:space="160"/>
            <w:col w:w="3200"/>
          </w:cols>
          <w:pgMar w:left="320" w:top="121" w:right="6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Smart Home</w:t>
      </w:r>
    </w:p>
    <w:p>
      <w:pPr>
        <w:spacing w:after="0" w:line="49" w:lineRule="exact"/>
        <w:rPr>
          <w:sz w:val="20"/>
          <w:szCs w:val="20"/>
          <w:color w:val="auto"/>
        </w:rPr>
      </w:pPr>
    </w:p>
    <w:p>
      <w:pPr>
        <w:ind w:left="340" w:right="20"/>
        <w:spacing w:after="0" w:line="243" w:lineRule="auto"/>
        <w:rPr>
          <w:sz w:val="20"/>
          <w:szCs w:val="20"/>
          <w:color w:val="auto"/>
        </w:rPr>
      </w:pPr>
      <w:r>
        <w:rPr>
          <w:rFonts w:ascii="Times New Roman" w:cs="Times New Roman" w:eastAsia="Times New Roman" w:hAnsi="Times New Roman"/>
          <w:sz w:val="18"/>
          <w:szCs w:val="18"/>
          <w:color w:val="auto"/>
        </w:rPr>
        <w:t>Smart home devices provide functional, energy-efficient living spaces with secure, reliable, and robust wireless smart home solutions. Sensors collect real-time data continuously to automate lighting, heating, and appliances, minimizing energy consumption while maximizing convenience. Our smart home solutions provide the functionality consumers demand while delivering features that accelerate adoption - privacy, simplicity,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Connected Health</w:t>
      </w:r>
    </w:p>
    <w:p>
      <w:pPr>
        <w:spacing w:after="0" w:line="49" w:lineRule="exact"/>
        <w:rPr>
          <w:sz w:val="20"/>
          <w:szCs w:val="20"/>
          <w:color w:val="auto"/>
        </w:rPr>
      </w:pPr>
    </w:p>
    <w:p>
      <w:pPr>
        <w:ind w:left="340"/>
        <w:spacing w:after="0" w:line="241" w:lineRule="auto"/>
        <w:rPr>
          <w:sz w:val="20"/>
          <w:szCs w:val="20"/>
          <w:color w:val="auto"/>
        </w:rPr>
      </w:pPr>
      <w:r>
        <w:rPr>
          <w:rFonts w:ascii="Times New Roman" w:cs="Times New Roman" w:eastAsia="Times New Roman" w:hAnsi="Times New Roman"/>
          <w:sz w:val="18"/>
          <w:szCs w:val="18"/>
          <w:color w:val="auto"/>
        </w:rPr>
        <w:t>Smart medical devices, such as continuous glucose monitors, insulin pumps, pulse oximeters, ECG monitors, and fitness wearables, make healthcare more accessible and are improving lives around the world. Regulatory requirements, product miniaturization needs, battery life, and security make development of these connected medical devices challenging for device manufacturers. Our low-power, high-performance wireless SoCs and modules simplify this process and accelerate time-to-market to develop secure, reliable, smart medical devices.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home cameras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locks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gateways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residential lighting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window shades/blinds</w:t>
      </w:r>
    </w:p>
    <w:p>
      <w:pPr>
        <w:spacing w:after="0" w:line="6" w:lineRule="exact"/>
        <w:rPr>
          <w:sz w:val="20"/>
          <w:szCs w:val="20"/>
          <w:color w:val="auto"/>
        </w:rPr>
      </w:pPr>
    </w:p>
    <w:p>
      <w:pPr>
        <w:ind w:left="160" w:right="620" w:hanging="160"/>
        <w:spacing w:after="0" w:line="247" w:lineRule="auto"/>
        <w:rPr>
          <w:sz w:val="20"/>
          <w:szCs w:val="20"/>
          <w:color w:val="auto"/>
        </w:rPr>
      </w:pPr>
      <w:r>
        <w:rPr>
          <w:rFonts w:ascii="Times New Roman" w:cs="Times New Roman" w:eastAsia="Times New Roman" w:hAnsi="Times New Roman"/>
          <w:sz w:val="18"/>
          <w:szCs w:val="18"/>
          <w:color w:val="auto"/>
        </w:rPr>
        <w:t>– Smart heating, ventilation, and air conditioning (HVAC)</w:t>
      </w:r>
    </w:p>
    <w:p>
      <w:pPr>
        <w:spacing w:after="0"/>
        <w:rPr>
          <w:sz w:val="20"/>
          <w:szCs w:val="20"/>
          <w:color w:val="auto"/>
        </w:rPr>
      </w:pPr>
      <w:r>
        <w:rPr>
          <w:rFonts w:ascii="Times New Roman" w:cs="Times New Roman" w:eastAsia="Times New Roman" w:hAnsi="Times New Roman"/>
          <w:sz w:val="18"/>
          <w:szCs w:val="18"/>
          <w:color w:val="auto"/>
        </w:rPr>
        <w:t>– Smart switches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sensors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Home security panels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Smart smoke/CO detectors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Diabetes management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Consumer health &amp; fitness (wearables)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Elderly care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Patient monitoring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Activity tracking</w:t>
      </w:r>
    </w:p>
    <w:p>
      <w:pPr>
        <w:spacing w:after="0" w:line="367" w:lineRule="exact"/>
        <w:rPr>
          <w:sz w:val="20"/>
          <w:szCs w:val="20"/>
          <w:color w:val="auto"/>
        </w:rPr>
      </w:pPr>
    </w:p>
    <w:p>
      <w:pPr>
        <w:sectPr>
          <w:pgSz w:w="11900" w:h="16838" w:orient="portrait"/>
          <w:cols w:equalWidth="0" w:num="2">
            <w:col w:w="7540" w:space="200"/>
            <w:col w:w="3200"/>
          </w:cols>
          <w:pgMar w:left="320" w:top="12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224" w:lineRule="exact"/>
        <w:rPr>
          <w:sz w:val="20"/>
          <w:szCs w:val="20"/>
          <w:color w:val="auto"/>
        </w:rPr>
      </w:pPr>
    </w:p>
    <w:p>
      <w:pPr>
        <w:ind w:right="820" w:firstLine="320"/>
        <w:spacing w:after="0" w:line="277" w:lineRule="auto"/>
        <w:rPr>
          <w:sz w:val="20"/>
          <w:szCs w:val="20"/>
          <w:color w:val="auto"/>
        </w:rPr>
      </w:pPr>
      <w:r>
        <w:rPr>
          <w:rFonts w:ascii="Times New Roman" w:cs="Times New Roman" w:eastAsia="Times New Roman" w:hAnsi="Times New Roman"/>
          <w:sz w:val="18"/>
          <w:szCs w:val="18"/>
          <w:color w:val="auto"/>
        </w:rPr>
        <w:t>We market our products through our direct sales force and through a network of independent sales representatives and distributors. Direct and distribution customers buy on an individual purchase order basis, rather than pursuant to long-term agreements.</w:t>
      </w:r>
    </w:p>
    <w:p>
      <w:pPr>
        <w:spacing w:after="0" w:line="163"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We consider our customer to be the end customer purchasing either directly from a distributor, a contract manufacturer or us. During fiscal 2024, our ten largest end customers accounted for 32% of our revenues. We had no customer that represented more than 10% of our revenues during this period. An end customer purchasing through a contract manufacturer typically instructs such contract manufacturer to obtain our products and incorporate such products with other components for sale by such contract manufacturer to the end customer. Although we sell products to, and are paid by distributors and contract manufacturers, we refer to the end customer as our customer. Two of our distributors who sell to our customers, Arrow Electronics and Edom Technology, represented 27% and 16% of our revenues during fiscal 2024, respectively.</w:t>
      </w:r>
    </w:p>
    <w:p>
      <w:pPr>
        <w:spacing w:after="0" w:line="185"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We maintain numerous sales offices in Asia, the Americas and Europe. Revenue is attributed to a geographic area based on the shipped-to location. The percentage of our revenues derived from outside of the United States was 90% in fiscal 2024.</w:t>
      </w:r>
    </w:p>
    <w:p>
      <w:pPr>
        <w:spacing w:after="0" w:line="163"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Our direct sales force is comprised of many sales professionals who possess varied levels of responsibility and experience, including directors, country managers, regional sales managers, district sales managers, strategic account managers, field sales engineers and sales representatives. We also utilize independent sales representatives and distributors to generate sales of our products. We have relationships with many independent sales representatives and distributors worldwide whom we have selected based on their understanding of the mixed-signal marketplace and their ability to provide effective field sales applications support for our products.</w:t>
      </w:r>
    </w:p>
    <w:p>
      <w:pPr>
        <w:spacing w:after="0" w:line="186"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185"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Due to the complex and innovative nature of our products, we employ experienced applications engineers who work closely with customers and distributors to support the design-win process and can significantly accelerate the customer’s time to market. A design win occurs when a customer has designed our ICs into its product architecture and ordered product from us. A considerable amount of effort to help a customer incorporate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 win can vary substantially depending on a customer’s development cycle, which can be relatively short (such as three months) or very long (such as two years) based on a wide variety of customer factors. Not all design wins ultimately result in revenue or may result in less revenue than expected. However, once a completed design architecture has been implemented and produced in high volumes, our customers are reluctant to significantly alter their designs due to this extensive design-win process. We believe this process, coupled with our intellectual property protection, promotes relatively longer product life cycles for our products and high barriers to entry for competitive products, even if such competing products are offered at lower prices. Our close collaboration with our customers provides us with knowledge of derivative product ideas or completely new product line offerings that may not otherwise arise in other new product discussions.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Through our research and development efforts, we leverage experienced analog and mixed-signal engineering talent and expertise to create new ICs that integrate functions typically performed less 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we have attracted many of the best engineers in our industry. We believe that reliable and precise analog and mixed-signal ICs can only be developed by teams of engineers who have significant analog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experience and are familiar with the intricacies of designing these ICs for commercial volume production. The development of test methodologies is just one example of a critical activity requiring experience and know-how to enable the rapid release of a new product for commercial success. We have accumulated a vast set of trade secrets that allow us to pursue innovative approaches to mixed-signal problems that are difficult for competitors to duplicate. We highly value our engineering talent and strive to maintain a very high bar when bringing new recruits to the company.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expenses were $332.2 million, $337.7 million and $332.3 million in fiscal 2024, 2023 and 2022,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4" w:lineRule="exact"/>
        <w:rPr>
          <w:sz w:val="20"/>
          <w:szCs w:val="20"/>
          <w:color w:val="auto"/>
        </w:rPr>
      </w:pPr>
    </w:p>
    <w:p>
      <w:pPr>
        <w:ind w:right="200" w:firstLine="320"/>
        <w:spacing w:after="0" w:line="254" w:lineRule="auto"/>
        <w:rPr>
          <w:sz w:val="20"/>
          <w:szCs w:val="20"/>
          <w:color w:val="auto"/>
        </w:rPr>
      </w:pPr>
      <w:r>
        <w:rPr>
          <w:rFonts w:ascii="Times New Roman" w:cs="Times New Roman" w:eastAsia="Times New Roman" w:hAnsi="Times New Roman"/>
          <w:sz w:val="18"/>
          <w:szCs w:val="18"/>
          <w:color w:val="auto"/>
        </w:rPr>
        <w:t>Our product development process facilitates the design of highly innovative, analog-intensive, mixed-signal ICs. Our engineers’ deep knowledge of existing and emerging standards and performance requirements helps us to assess the technical feasibility of a particular IC. We target areas where we can provide compelling product improvements. Once we have solved the primary challenges, our field application engineers continue to work closely with our customers’ design teams to maintain and develop an understanding of our customers’ needs, allowing us to formulate derivative products and refined features.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providing mixed-signal ICs for our customers, we believe our key competitive advantages are:</w:t>
      </w:r>
    </w:p>
    <w:p>
      <w:pPr>
        <w:spacing w:after="0" w:line="220"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and RF design expertise in CMOS;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Mixed-signal, firmware, and system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Microcontroller and system-on-a-chip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expertise, including multiprotocol connectivity and real-time operating systems for the IoT;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Module integration and wireless design expertise;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Silicon-to-cloud security integration expertise;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 understanding of systems technology and trends.</w:t>
      </w:r>
    </w:p>
    <w:p>
      <w:pPr>
        <w:spacing w:after="0" w:line="201"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8"/>
          <w:szCs w:val="18"/>
          <w:color w:val="auto"/>
        </w:rPr>
        <w:t>To fully capitalize on these advantages, we have assembled a world-class development team with exceptional analog and mixed-signal design expertise led by accomplished senior engineers.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and RF Design Expertise in CMOS</w:t>
      </w:r>
    </w:p>
    <w:p>
      <w:pPr>
        <w:spacing w:after="0" w:line="222" w:lineRule="exact"/>
        <w:rPr>
          <w:sz w:val="20"/>
          <w:szCs w:val="20"/>
          <w:color w:val="auto"/>
        </w:rPr>
      </w:pPr>
    </w:p>
    <w:p>
      <w:pPr>
        <w:ind w:right="120" w:firstLine="320"/>
        <w:spacing w:after="0" w:line="252" w:lineRule="auto"/>
        <w:rPr>
          <w:sz w:val="20"/>
          <w:szCs w:val="20"/>
          <w:color w:val="auto"/>
        </w:rPr>
      </w:pPr>
      <w:r>
        <w:rPr>
          <w:rFonts w:ascii="Times New Roman" w:cs="Times New Roman" w:eastAsia="Times New Roman" w:hAnsi="Times New Roman"/>
          <w:sz w:val="18"/>
          <w:szCs w:val="18"/>
          <w:color w:val="auto"/>
        </w:rPr>
        <w:t>We believe that our most significant core competency is world-class analog and RF design capability. Additionally, we strive to design substantially all our ICs in standard CMOS processes. Most of our product designs now incorporate some type of RF in CMOS technology. While it is often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These finer line geometries can enable smaller and faster ICs. By designing our ICs in CMOS, we enable our products to benefit from this trend towards finer line geometries, which allows us to integrate more digital functionality into our mixed-signal ICs.</w:t>
      </w:r>
    </w:p>
    <w:p>
      <w:pPr>
        <w:spacing w:after="0" w:line="187"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Designing analog and mixed-signal ICs is significantly more complicated than designing standalone digital ICs. While advanced software tools exist to help automate digital IC design, there are far fewer tools for advanced analog and mixed-signal IC design. In many cases, our analog circuit design efforts begin at the fundamental transistor level. We believe that we have a demonstrated ability to design the most difficult analog and RF circuits using standard CMOS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Mixed-Signal, Firmware and System Design Expertise</w:t>
      </w:r>
    </w:p>
    <w:p>
      <w:pPr>
        <w:spacing w:after="0" w:line="222"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consider the partitioning of a circuit to be a proprietary and creative design technique. Deep systems knowledge allows us to use our mixed-signal and RF in CMOS design expertise to maximize the price/performance characteristics of both the analog and digital functions and allow our ICs to work in an optimized manner to accomplish particular tasks. Generally, we attempt to move analog functions into the digital domain as quickly as possible, creating system efficiencies without compromising performance. These patented approaches require our advanced signal processing and systems expertise. We then leverage our firmware know-how to change the ‘personality’ of our devices, optimizing features and functions needed by various markets we serve. For example, our wireless SoC devices for IoT applications integrate both digital and analog domains in a single chip. The SoCs combine ARM Cortex-M processor cores, a variety of digital and analog peripherals, hardware cryptography accelerators, and analog-intensive multiprotocol radio transceivers. This system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integration at the chip level leverages our deep expertise in mixed-signal and RF design, and low-power wireless MCU architectures pioneered for more than a decade.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Microcontroller and System on a Chip Design Expertise</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We have the talent and circuit integration methodologies required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cost-efficient with the silicon area of the monolithic CMOS integrated circuit requires a keen sense of customer value and engineering capabilities. Additionally, managing the wide variety of signals on a monolithic piece of silicon, including electrical noise, harmonics, and other electronic distortions requires a fundamental knowledge of device physics and accumulated design expertise.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Expertise</w:t>
      </w:r>
    </w:p>
    <w:p>
      <w:pPr>
        <w:spacing w:after="0" w:line="222" w:lineRule="exact"/>
        <w:rPr>
          <w:sz w:val="20"/>
          <w:szCs w:val="20"/>
          <w:color w:val="auto"/>
        </w:rPr>
      </w:pPr>
    </w:p>
    <w:p>
      <w:pPr>
        <w:ind w:right="180" w:firstLine="320"/>
        <w:spacing w:after="0" w:line="257" w:lineRule="auto"/>
        <w:rPr>
          <w:sz w:val="20"/>
          <w:szCs w:val="20"/>
          <w:color w:val="auto"/>
        </w:rPr>
      </w:pPr>
      <w:r>
        <w:rPr>
          <w:rFonts w:ascii="Times New Roman" w:cs="Times New Roman" w:eastAsia="Times New Roman" w:hAnsi="Times New Roman"/>
          <w:sz w:val="18"/>
          <w:szCs w:val="18"/>
          <w:color w:val="auto"/>
        </w:rPr>
        <w:t>Our software expertise allows us to develop products for markets where intelligent data capture, high-performance processing, and communication are increasingly important product differentiators. The software we have developed to address these markets enables machine-to-machine communications, providing intelligence to electronic systems. Our products integrate high-performance, low-power wireless, and microcontroller ICs with reliable and scalable software into a flexible and robust networking platform.</w:t>
      </w:r>
    </w:p>
    <w:p>
      <w:pPr>
        <w:spacing w:after="0" w:line="181" w:lineRule="exact"/>
        <w:rPr>
          <w:sz w:val="20"/>
          <w:szCs w:val="20"/>
          <w:color w:val="auto"/>
        </w:rPr>
      </w:pPr>
    </w:p>
    <w:p>
      <w:pPr>
        <w:ind w:right="160" w:firstLine="320"/>
        <w:spacing w:after="0" w:line="262" w:lineRule="auto"/>
        <w:rPr>
          <w:sz w:val="20"/>
          <w:szCs w:val="20"/>
          <w:color w:val="auto"/>
        </w:rPr>
      </w:pPr>
      <w:r>
        <w:rPr>
          <w:rFonts w:ascii="Times New Roman" w:cs="Times New Roman" w:eastAsia="Times New Roman" w:hAnsi="Times New Roman"/>
          <w:sz w:val="18"/>
          <w:szCs w:val="18"/>
          <w:color w:val="auto"/>
        </w:rPr>
        <w:t>The demand for low-power, small-footprint wireless technology is accelerating as more and more IP-enabled endpoints are being connected to the IoT. Our software enables a broad range of power-sensitive applications for the IoT, including smart energy, home automation, security, and other connected products. We believe that the combination of our software and IC design expertise differentiates us from many of our competitors.</w:t>
      </w:r>
    </w:p>
    <w:p>
      <w:pPr>
        <w:spacing w:after="0" w:line="176" w:lineRule="exact"/>
        <w:rPr>
          <w:sz w:val="20"/>
          <w:szCs w:val="20"/>
          <w:color w:val="auto"/>
        </w:rPr>
      </w:pPr>
    </w:p>
    <w:p>
      <w:pPr>
        <w:ind w:right="260" w:firstLine="320"/>
        <w:spacing w:after="0" w:line="257" w:lineRule="auto"/>
        <w:rPr>
          <w:sz w:val="20"/>
          <w:szCs w:val="20"/>
          <w:color w:val="auto"/>
        </w:rPr>
      </w:pPr>
      <w:r>
        <w:rPr>
          <w:rFonts w:ascii="Times New Roman" w:cs="Times New Roman" w:eastAsia="Times New Roman" w:hAnsi="Times New Roman"/>
          <w:sz w:val="18"/>
          <w:szCs w:val="18"/>
          <w:color w:val="auto"/>
        </w:rPr>
        <w:t>As the IoT continues to mature, a new class of embedded applications is emerging, presenting feature-rich and task-intensive use cases. This growing complexity is driving the need for RTOSs to help simplify software development for IoT applications by coordinating and prioritizing multiprotocol connectivity, SoC peripherals, and other system-level activities. In addition to being able to manage numerous application tasks, an RTOS enhances scalability and makes complex applications predictable and reliable.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Module Integration and Wireless Design Expertise</w:t>
      </w:r>
    </w:p>
    <w:p>
      <w:pPr>
        <w:spacing w:after="0" w:line="222" w:lineRule="exact"/>
        <w:rPr>
          <w:sz w:val="20"/>
          <w:szCs w:val="20"/>
          <w:color w:val="auto"/>
        </w:rPr>
      </w:pPr>
    </w:p>
    <w:p>
      <w:pPr>
        <w:ind w:right="260" w:firstLine="320"/>
        <w:spacing w:after="0" w:line="284" w:lineRule="auto"/>
        <w:rPr>
          <w:sz w:val="20"/>
          <w:szCs w:val="20"/>
          <w:color w:val="auto"/>
        </w:rPr>
      </w:pPr>
      <w:r>
        <w:rPr>
          <w:rFonts w:ascii="Times New Roman" w:cs="Times New Roman" w:eastAsia="Times New Roman" w:hAnsi="Times New Roman"/>
          <w:sz w:val="17"/>
          <w:szCs w:val="17"/>
          <w:color w:val="auto"/>
        </w:rPr>
        <w:t>The market for wireless modules has grown as customers search for solutions that provide turnkey wireless connectivity for their products. The development of modules is difficult due to stringent requirements, including high levels of integration, programmability, performance, reliability, security, and power efficiency. In addition, designs must meet numerous wireless standards deployed in various environments and serving diverse requirements.</w:t>
      </w:r>
    </w:p>
    <w:p>
      <w:pPr>
        <w:spacing w:after="0" w:line="16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Our combined expertise in IC design and software development allows us to engineer modules that provide robust, high-performance connections in challenging wireless environments. We have developed wireless modules based on numerous wireless standards, including Bluetooth, sub-GHz, Thread, Wi-Fi, Zigbee, and Z-Wave. We believe our demonstrated proficiency in the design of modules provides our customers with significant advantages such as fast time to market, reduced development cost, global wireless certifications, and software reuse.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Silicon-to-Cloud Security Integration Expertise</w:t>
      </w:r>
    </w:p>
    <w:p>
      <w:pPr>
        <w:spacing w:after="0" w:line="222"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Security is of paramount importance to our customers. More than ever before, device manufacturers and OEMs developing IoT products have specific needs to ensure their solutions are secure. Security is a complex endeavor involving the convergence of multiple integrated hardware and software technologies. IoT products are designed to ensure the devices operate in a trusted and reliable manner, enforce policies as well as protect the confidentiality, authenticity and integrity of data and private information being processed and transmitted. The building blocks are built in hardware based on dedicated IC security components integrated into SoC designs. These specialized security components are designed to enhance cryptographic capabilities and exploit unique physical characteristics of CMOS to establish foundations of trust and enable device identity and assurance.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In addition to developing specific security hardware and software capabilities, we also focus design and engineering efforts on technologies that simplify and accelerate adoption by customers of security features engineered into our silicon chips. This is primarily achieved through software tools such as Simplicity Studio and its integration with cloud-based services that simplify implementation, reduce complexity and enable management of security for fleets of devices. Those capabilities are designed to help customers develop products and solutions with chip-to-cloud security integration, enable faster time to market and reduce security defects, risks and losses due to security attacks and incidents. We are creating innovative security solutions that enable customers to develop best-in-class, simple and economical solutions. We will continue investing in security-specific research and development that addresses a dynamic threat landscape, emerging regulatory requirements, and evolving customer security and privacy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Understanding of Systems Technology and Trends</w:t>
      </w:r>
    </w:p>
    <w:p>
      <w:pPr>
        <w:spacing w:after="0" w:line="222" w:lineRule="exact"/>
        <w:rPr>
          <w:sz w:val="20"/>
          <w:szCs w:val="20"/>
          <w:color w:val="auto"/>
        </w:rPr>
      </w:pPr>
    </w:p>
    <w:p>
      <w:pPr>
        <w:jc w:val="both"/>
        <w:ind w:right="440" w:firstLine="320"/>
        <w:spacing w:after="0" w:line="262" w:lineRule="auto"/>
        <w:rPr>
          <w:sz w:val="20"/>
          <w:szCs w:val="20"/>
          <w:color w:val="auto"/>
        </w:rPr>
      </w:pPr>
      <w:r>
        <w:rPr>
          <w:rFonts w:ascii="Times New Roman" w:cs="Times New Roman" w:eastAsia="Times New Roman" w:hAnsi="Times New Roman"/>
          <w:sz w:val="18"/>
          <w:szCs w:val="18"/>
          <w:color w:val="auto"/>
        </w:rPr>
        <w:t>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Our expertise includes:</w:t>
      </w:r>
    </w:p>
    <w:p>
      <w:pPr>
        <w:spacing w:after="0" w:line="176"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synthesis, which is core technology for wireless and clocking applications;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which enables the elimination of discrete components in a system;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 processing and precision analog, which forms the heart of consumer, industrial, medical, and automotive electronics applications.</w:t>
      </w:r>
    </w:p>
    <w:p>
      <w:pPr>
        <w:spacing w:after="0" w:line="201"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Our understanding of the role of analog/digital interfaces within electronic systems, standards evolution, and end-market drivers enables us to identify product development opportunities and capitalize on market trends.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4" w:lineRule="exact"/>
        <w:rPr>
          <w:sz w:val="20"/>
          <w:szCs w:val="20"/>
          <w:color w:val="auto"/>
        </w:rPr>
      </w:pPr>
    </w:p>
    <w:p>
      <w:pPr>
        <w:ind w:right="20" w:firstLine="320"/>
        <w:spacing w:after="0" w:line="268" w:lineRule="auto"/>
        <w:rPr>
          <w:sz w:val="20"/>
          <w:szCs w:val="20"/>
          <w:color w:val="auto"/>
        </w:rPr>
      </w:pPr>
      <w:r>
        <w:rPr>
          <w:rFonts w:ascii="Times New Roman" w:cs="Times New Roman" w:eastAsia="Times New Roman" w:hAnsi="Times New Roman"/>
          <w:sz w:val="17"/>
          <w:szCs w:val="17"/>
          <w:color w:val="auto"/>
        </w:rPr>
        <w:t>As a fabless semiconductor company, we conduct IC design and development in our facilities and electronically transfer our proprietary IC designs to third-party semiconductor fabricators who process silicon wafers to produce the ICs that we design. Our IC designs typically use industry-standard CMOS manufacturing process technology to achieve a level of performance normally associated with more expensive special-purpose IC fabrication technology. We believe the use of CMOS technology facilitates the rapid production of our ICs within a lower-cost framework. Our IC production employs submicron process geometries, which are readily available from leading foundry suppliers worldwide, thus increasing the likelihood that manufacturing capacity will be available throughout our products’ life cycles. We currently partner primarily with Taiwan Semiconductor Manufacturing Co. (“TSMC”) and Semiconductor Manufacturing International Corporation (“SMIC”) to manufacture the majority of our semiconductor wafers. We believe that our fabless manufacturing model significantly reduces our capital requirements and allows us to focus our resources on the design, development, and marketing of our ICs.</w:t>
      </w:r>
    </w:p>
    <w:p>
      <w:pPr>
        <w:spacing w:after="0" w:line="175"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Once the silicon wafers have been produced, they are shipped directly to our third-party assembly subcontractors. The assembled ICs are then moved to the final testing stage. This operation can be performed by the same contractor that assembled the IC, other third-party test subcontractors, or within our internal facilities prior to shipping to our customers. During fiscal 2024, most of our units shipped were tested by offshore third-party test subcontractors. We expect that our utilization of offshore third-party test subcontractors will remain substantial during fiscal 2025.</w:t>
      </w:r>
    </w:p>
    <w:p>
      <w:pPr>
        <w:spacing w:after="0" w:line="181" w:lineRule="exact"/>
        <w:rPr>
          <w:sz w:val="20"/>
          <w:szCs w:val="20"/>
          <w:color w:val="auto"/>
        </w:rPr>
      </w:pPr>
    </w:p>
    <w:p>
      <w:pPr>
        <w:ind w:right="180" w:firstLine="320"/>
        <w:spacing w:after="0" w:line="257" w:lineRule="auto"/>
        <w:rPr>
          <w:sz w:val="20"/>
          <w:szCs w:val="20"/>
          <w:color w:val="auto"/>
        </w:rPr>
      </w:pPr>
      <w:r>
        <w:rPr>
          <w:rFonts w:ascii="Times New Roman" w:cs="Times New Roman" w:eastAsia="Times New Roman" w:hAnsi="Times New Roman"/>
          <w:sz w:val="18"/>
          <w:szCs w:val="18"/>
          <w:color w:val="auto"/>
        </w:rPr>
        <w:t>If our suppliers, due to unpredictable factors outside their control, experience closures or reductions in their capacity utilization levels in the future, we may have difficulty sourcing materials necessary to fulfill production requirements. Disruptions to our business and supply chain (and the business and supply chains of our customers) could cause significant delays in shipments of our products until we are able to shift our manufacturing, assembling, or testing from the affected subcontractor to another third-party vendor.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4"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We include in backlog accepted product purchase orders from customers and worldwide distributor stocking orders.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Accordingly, we do not believe that our backlog at any time is necessarily representative of actual sales for any succeeding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4"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The markets for semiconductors generally, and for analog and mixed-signal ICs in particular, are intensely competitive. We anticipate that the market for our products will continually evolve and will be subject to rapid technological change. We believe the principal competitive factors in our industry are:</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size;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requirement;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Level of integration;</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support;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capabilities;</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Reputation;</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Reliability;</w:t>
            </w:r>
          </w:p>
        </w:tc>
        <w:tc>
          <w:tcPr>
            <w:tcW w:w="58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Ability to rapidly introduce new products to market;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and</w:t>
            </w:r>
          </w:p>
        </w:tc>
      </w:tr>
      <w:tr>
        <w:trPr>
          <w:trHeight w:val="2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r>
    </w:tbl>
    <w:p>
      <w:pPr>
        <w:spacing w:after="0" w:line="194"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We believe that we are competitive with respect to these factors, particularly because our ICs typically are smaller in size, are highly integrated, achieve high-performance specifications at lower price points than competitive products, and are manufactured in standard CMOS, which generally enables us to supply them on a relatively rapid basis to customers to meet their product introduction schedules. However, disadvantages we face include our relatively short operating history in certain of our markets and the need for customers to redesign their products and modify their software to implement our ICs in their products.</w:t>
      </w:r>
    </w:p>
    <w:p>
      <w:pPr>
        <w:spacing w:after="0" w:line="186" w:lineRule="exact"/>
        <w:rPr>
          <w:sz w:val="20"/>
          <w:szCs w:val="20"/>
          <w:color w:val="auto"/>
        </w:rPr>
      </w:pPr>
    </w:p>
    <w:p>
      <w:pPr>
        <w:ind w:firstLine="320"/>
        <w:spacing w:after="0" w:line="269" w:lineRule="auto"/>
        <w:rPr>
          <w:sz w:val="20"/>
          <w:szCs w:val="20"/>
          <w:color w:val="auto"/>
        </w:rPr>
      </w:pPr>
      <w:r>
        <w:rPr>
          <w:rFonts w:ascii="Times New Roman" w:cs="Times New Roman" w:eastAsia="Times New Roman" w:hAnsi="Times New Roman"/>
          <w:sz w:val="17"/>
          <w:szCs w:val="17"/>
          <w:color w:val="auto"/>
        </w:rPr>
        <w:t>Due to our diversified product portfolio and the numerous markets and applications we serve, we target a relatively large number of competitors. We compete with Broadcom, Espressif, Infineon, MediaTek, Microchip, Nordic Semiconductor, NXP, Qualcomm, Renesas, STMicroelectronics, Synaptics, Telink, Texas Instruments and others. We expect to face competition in the future from our current competitors, other manufacturers, designers of semiconductors, and start-up semiconductor design companies. Our competitors may also offer bundled solutions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We could also face competition from module makers or other systems suppliers that may include mixed-signal components in their products, which could eliminate the need for our ICs.</w:t>
      </w:r>
    </w:p>
    <w:p>
      <w:pPr>
        <w:spacing w:after="0" w:line="174"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ind w:firstLine="320"/>
        <w:spacing w:after="0" w:line="269" w:lineRule="auto"/>
        <w:rPr>
          <w:sz w:val="20"/>
          <w:szCs w:val="20"/>
          <w:color w:val="auto"/>
        </w:rPr>
      </w:pPr>
      <w:r>
        <w:rPr>
          <w:rFonts w:ascii="Times New Roman" w:cs="Times New Roman" w:eastAsia="Times New Roman" w:hAnsi="Times New Roman"/>
          <w:sz w:val="17"/>
          <w:szCs w:val="17"/>
          <w:color w:val="auto"/>
        </w:rPr>
        <w:t>Our future success depends in part upon our proprietary technology. We seek to protect our technology through a combination of patents, copyrights, trade secrets, trademarks and confidentiality procedures. As of December 28, 2024, we had 1,558 issued or pending United States and foreign patents. Patents generally have a term of twenty years from the date they are filed. As our patent portfolio has been built over time, the remaining terms of the individual patents in our patent portfolio vary. There can be no assurance that patents will ever be issued with respect to our patent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w:t>
      </w:r>
    </w:p>
    <w:p>
      <w:pPr>
        <w:spacing w:after="0" w:line="174"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We claim copyright protection for proprietary documentation for our products. We have filed for registration, or are in the process of filing for registration, the visual images of certain ICs with the U.S. Copyright Office. We have registered the “Silicon Labs”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40" w:firstLine="320"/>
        <w:spacing w:after="0" w:line="277" w:lineRule="auto"/>
        <w:rPr>
          <w:sz w:val="20"/>
          <w:szCs w:val="20"/>
          <w:color w:val="auto"/>
        </w:rPr>
      </w:pPr>
      <w:r>
        <w:rPr>
          <w:rFonts w:ascii="Times New Roman" w:cs="Times New Roman" w:eastAsia="Times New Roman" w:hAnsi="Times New Roman"/>
          <w:sz w:val="18"/>
          <w:szCs w:val="18"/>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163"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w:t>
      </w:r>
    </w:p>
    <w:p>
      <w:pPr>
        <w:spacing w:after="0" w:line="186" w:lineRule="exact"/>
        <w:rPr>
          <w:sz w:val="20"/>
          <w:szCs w:val="20"/>
          <w:color w:val="auto"/>
        </w:rPr>
      </w:pPr>
    </w:p>
    <w:p>
      <w:pPr>
        <w:ind w:right="480" w:firstLine="320"/>
        <w:spacing w:after="0" w:line="277" w:lineRule="auto"/>
        <w:rPr>
          <w:sz w:val="20"/>
          <w:szCs w:val="20"/>
          <w:color w:val="auto"/>
        </w:rPr>
      </w:pPr>
      <w:r>
        <w:rPr>
          <w:rFonts w:ascii="Times New Roman" w:cs="Times New Roman" w:eastAsia="Times New Roman" w:hAnsi="Times New Roman"/>
          <w:sz w:val="18"/>
          <w:szCs w:val="18"/>
          <w:color w:val="auto"/>
        </w:rPr>
        <w:t>Our licenses include industry standard licenses with our vendors, such as wafer fabrication tool libraries, third-party core libraries, computer-aided design applications and business software applications.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4" w:lineRule="exact"/>
        <w:rPr>
          <w:sz w:val="20"/>
          <w:szCs w:val="20"/>
          <w:color w:val="auto"/>
        </w:rPr>
      </w:pPr>
    </w:p>
    <w:p>
      <w:pPr>
        <w:ind w:right="260" w:firstLine="320"/>
        <w:spacing w:after="0" w:line="262" w:lineRule="auto"/>
        <w:rPr>
          <w:sz w:val="20"/>
          <w:szCs w:val="20"/>
          <w:color w:val="auto"/>
        </w:rPr>
      </w:pPr>
      <w:r>
        <w:rPr>
          <w:rFonts w:ascii="Times New Roman" w:cs="Times New Roman" w:eastAsia="Times New Roman" w:hAnsi="Times New Roman"/>
          <w:sz w:val="18"/>
          <w:szCs w:val="18"/>
          <w:color w:val="auto"/>
        </w:rPr>
        <w:t>Our success depends on our ability to continue to attract, retain and motivate qualified employees, particularly highly skilled analog and mixed-signal engineers and senior management personnel. We strive to meet this objective by offering competitive compensation and benefits in a diverse, inclusive, equitable and safe workplace, with opportunities for our employees to grow and develop in their careers.</w:t>
      </w:r>
    </w:p>
    <w:p>
      <w:pPr>
        <w:spacing w:after="0" w:line="176"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As of December 28, 2024, we employed 1,889 people, of whom 71% were in engineering roles. Women represented 23% of our workforce and men represented 77%. We are a multi-national and multi-ethnic workforce, with sites and employees in more than a dozen countries. We are committed to fostering a diverse and inclusive workplace that attracts and retains exceptional talent. We actively promote representation in our organization and equity in our recruitment, development, promotion and compensation practices. These principles are also reflected in our employee training, in particular with respect to our policies against harassment, discrimination and the elimination of bias in the workplace.</w:t>
      </w:r>
    </w:p>
    <w:p>
      <w:pPr>
        <w:spacing w:after="0" w:line="186"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We hold our employees to high performance standards, and our compensation plans are designed to deliver competitive base pay and attractive incentive opportunities. Our benefits programs are tailored to the various countries in which we operate. We benchmark for market practices and regularly review our compensation and benefit programs against the market to ensure they remain competitive.</w:t>
      </w:r>
    </w:p>
    <w:p>
      <w:pPr>
        <w:spacing w:after="0" w:line="176" w:lineRule="exact"/>
        <w:rPr>
          <w:sz w:val="20"/>
          <w:szCs w:val="20"/>
          <w:color w:val="auto"/>
        </w:rPr>
      </w:pPr>
    </w:p>
    <w:p>
      <w:pPr>
        <w:ind w:right="20" w:firstLine="320"/>
        <w:spacing w:after="0" w:line="251" w:lineRule="auto"/>
        <w:rPr>
          <w:sz w:val="20"/>
          <w:szCs w:val="20"/>
          <w:color w:val="auto"/>
        </w:rPr>
      </w:pPr>
      <w:r>
        <w:rPr>
          <w:rFonts w:ascii="Times New Roman" w:cs="Times New Roman" w:eastAsia="Times New Roman" w:hAnsi="Times New Roman"/>
          <w:sz w:val="18"/>
          <w:szCs w:val="18"/>
          <w:color w:val="auto"/>
        </w:rPr>
        <w:t>We support a high-performance culture through learning and development solutions aligned with our strategic priorities. Our approach is business-centric, accessible, and inclusive. Employees continuously collaborate and share their expertise through an internal training program consisting of classes and workshops that help strengthen technical and professional skills and advance careers. We also host university professors and external speakers to broaden knowledge, trigger creativity, and inspire innovation. Our e-learning libraries and on-demand training videos allow employees to absorb information at their own pace and share their recommendations with co-workers. Employees are invited to attend our annual two-day technical symposium featuring peer-reviewed presentations showcasing our internal technical achievements and talks from outside experts to educate and inspire our workforce. Our talent development programs provide employees with the resources they need to help achieve their career goals, build management skills and lead their organizations. We regularly review succession plans and focus on promoting internal talent to help grow our employees’ careers.</w:t>
      </w:r>
    </w:p>
    <w:p>
      <w:pPr>
        <w:spacing w:after="0" w:line="19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will be dependent on retaining the services of our key personnel, developing their successors and properly managing the transition of key roles when they occur. Our key technical personnel represent a significant asset and serve as the primary source for our technological and product innovations. We use employee surveys to better understand and improve the employee experience and identify opportunities to continually strengthen our work philosophy. We use employee feedback to drive and improve processes and ensure a deep understanding of our culture and vision among our employees. We believe the development of our company culture, along with competitive compensation, career growth, and development opportunities have helped increase employee tenure and reduce voluntary turnover. During fiscal 2024, our voluntary employee turnover rate was 8%.</w:t>
      </w:r>
    </w:p>
    <w:p>
      <w:pPr>
        <w:spacing w:after="0" w:line="185" w:lineRule="exact"/>
        <w:rPr>
          <w:sz w:val="20"/>
          <w:szCs w:val="20"/>
          <w:color w:val="auto"/>
        </w:rPr>
      </w:pPr>
    </w:p>
    <w:p>
      <w:pPr>
        <w:ind w:right="180" w:firstLine="320"/>
        <w:spacing w:after="0" w:line="257" w:lineRule="auto"/>
        <w:rPr>
          <w:sz w:val="20"/>
          <w:szCs w:val="20"/>
          <w:color w:val="auto"/>
        </w:rPr>
      </w:pPr>
      <w:r>
        <w:rPr>
          <w:rFonts w:ascii="Times New Roman" w:cs="Times New Roman" w:eastAsia="Times New Roman" w:hAnsi="Times New Roman"/>
          <w:sz w:val="18"/>
          <w:szCs w:val="18"/>
          <w:color w:val="auto"/>
        </w:rPr>
        <w:t>The well-being of our employees is of utmost importance to us. We offer comprehensive benefits resources and tools to address the healthcare and wellness needs of our employees and their families, enable them to manage their work-life balance, and plan for a secure future. We provide our employees and their families with access to a variety of innovative, flexible programs that support their physical, mental, and financial health as well as providing flexible work arrangements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and competitive time off programs including vacation, holiday, volunteer time off and many types of leave to support our employees through various stages of their lives.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As a global corporate citizen, we are committed to advancing responsible and sustainable operations throughout our supply chain. We live by our promise to “do the right thing” for our employees, customers, shareholders, communities, and the planet. We strive to minimize resource use and reduce our environmental impact by designing smaller and more energy-efficient products, conserving energy and precious resources, and investing in sustainable technologies and energy conservation practices. We believe our products enable sustainable IoT solutions across home, medical, industrial and commercial environments, including air pollution and waste management monitoring, water integrity, residential irrigation monitoring, street lighting networks, advanced metering infrastructure and building energy management. Innovative solutions do not stop at our products – we are also actively supporting research to improve safety, sustainability, and overall quality of life in densifying cities as the founding corporate partner for the Smart City Living Lab at The International Institute of Information Technology in Hyderabad, India.</w:t>
      </w:r>
    </w:p>
    <w:p>
      <w:pPr>
        <w:spacing w:after="0" w:line="190"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We demand excellence in our quality and environmental management systems, each respectively certified to ISO 9001:2015 and ISO 14001:2015 standards. We are committed to delivering products that meet environmental regulations and requirements and have high standards for our global supply chain partners, prioritizing qualified suppliers who are socially and environmentally progressive. In 2022, we joined the Responsible Business Alliance® (“RBA®”), an industry coalition dedicated to responsible business conduct in the global supply chain. We support, and require our suppliers to support, the RBA Code of Conduct.</w:t>
      </w:r>
    </w:p>
    <w:p>
      <w:pPr>
        <w:spacing w:after="0" w:line="186"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Each year we donate to charitable organizations and allocate global site grants to support local community needs. We also offer 24 hours of paid time off annually for employees to volunteer in their communities. Our philanthropy program prioritizes financial, volunteer and in-kind support to organizations that are helping to expand technology access and education to underrepresented groups, support advancements in sustainability and energy conservation, and invest in critical community needs where we work and live.</w:t>
      </w:r>
    </w:p>
    <w:p>
      <w:pPr>
        <w:spacing w:after="0" w:line="181"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For more information on our Sustainability and ESG commitments and progress, please visit the Environmental, Social and Governance (“ESG”) section of our website at www.silabs.com. Our website and the information contained therein or connected thereto are not intended to be incorporated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4" w:lineRule="exact"/>
        <w:rPr>
          <w:sz w:val="20"/>
          <w:szCs w:val="20"/>
          <w:color w:val="auto"/>
        </w:rPr>
      </w:pPr>
    </w:p>
    <w:p>
      <w:pPr>
        <w:jc w:val="both"/>
        <w:ind w:right="280" w:firstLine="320"/>
        <w:spacing w:after="0" w:line="257" w:lineRule="auto"/>
        <w:rPr>
          <w:sz w:val="20"/>
          <w:szCs w:val="20"/>
          <w:color w:val="auto"/>
        </w:rPr>
      </w:pPr>
      <w:r>
        <w:rPr>
          <w:rFonts w:ascii="Times New Roman" w:cs="Times New Roman" w:eastAsia="Times New Roman" w:hAnsi="Times New Roman"/>
          <w:sz w:val="18"/>
          <w:szCs w:val="18"/>
          <w:color w:val="auto"/>
        </w:rPr>
        <w:t>We are subject to international, federal, state and local laws and regulations that are customary to businesses in the semiconductor industry, including those related to financial and other disclosures, accounting standards, corporate governance, intellectual property, tax, trade, including import, export and customs, antitrust, environment, health and safety, employment, immigration and travel, cybersecurity, privacy, data protection and localization, and anti-corruption. Such laws and regulations include, but are not limited to:</w:t>
      </w:r>
    </w:p>
    <w:p>
      <w:pPr>
        <w:spacing w:after="0" w:line="181" w:lineRule="exact"/>
        <w:rPr>
          <w:sz w:val="20"/>
          <w:szCs w:val="20"/>
          <w:color w:val="auto"/>
        </w:rPr>
      </w:pPr>
    </w:p>
    <w:p>
      <w:pPr>
        <w:ind w:left="640" w:right="300" w:hanging="313"/>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Hazardous Substances Directive (“RoHS”), which restricts the use of certain hazardous substances in electrical and electronic equipment;</w:t>
      </w:r>
    </w:p>
    <w:p>
      <w:pPr>
        <w:ind w:left="640" w:right="80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Data Protection Regulation (“GDPR”), which provides guidelines for the collection and processing of personal information from individuals who live in the European Union;</w:t>
      </w:r>
    </w:p>
    <w:p>
      <w:pPr>
        <w:ind w:left="640" w:right="20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(“FCPA”), which prohibits companies and their individual officers from influencing foreign officials with any personal payments or rewards; and</w:t>
      </w:r>
    </w:p>
    <w:p>
      <w:pPr>
        <w:ind w:left="640" w:hanging="313"/>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reporting, which imposes disclosure requirements regarding the use of “conflict” minerals mined from the Democratic Republic of Congo and adjoining countries in products.</w:t>
      </w:r>
    </w:p>
    <w:p>
      <w:pPr>
        <w:spacing w:after="0" w:line="18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Although compliance with these laws has not had a material impact on our financial position and results of operations, the laws and regulations to which we are subject may differ among jurisdictions, and compliance with them may have a materially adverse impact on our business and results of operations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ind w:right="920" w:firstLine="320"/>
        <w:spacing w:after="0" w:line="277" w:lineRule="auto"/>
        <w:rPr>
          <w:sz w:val="20"/>
          <w:szCs w:val="20"/>
          <w:color w:val="auto"/>
        </w:rPr>
      </w:pPr>
      <w:r>
        <w:rPr>
          <w:rFonts w:ascii="Times New Roman" w:cs="Times New Roman" w:eastAsia="Times New Roman" w:hAnsi="Times New Roman"/>
          <w:sz w:val="18"/>
          <w:szCs w:val="18"/>
          <w:color w:val="auto"/>
        </w:rPr>
        <w:t>Our website address is www.silabs.com. Our annual report on Form 10-K, quarterly reports on Form 10-Q, current reports on Form 8-K and amendments to those reports filed or furnished pursuant to Section 13(a) or 15(d) of the Securities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Exchange Act of 1934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Annual Report on Form 10-K.</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4"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90" w:lineRule="exact"/>
        <w:rPr>
          <w:sz w:val="20"/>
          <w:szCs w:val="20"/>
          <w:color w:val="auto"/>
        </w:rPr>
      </w:pPr>
    </w:p>
    <w:p>
      <w:pPr>
        <w:ind w:firstLine="320"/>
        <w:spacing w:after="0" w:line="269" w:lineRule="auto"/>
        <w:rPr>
          <w:sz w:val="20"/>
          <w:szCs w:val="20"/>
          <w:color w:val="auto"/>
        </w:rPr>
      </w:pPr>
      <w:r>
        <w:rPr>
          <w:rFonts w:ascii="Times New Roman" w:cs="Times New Roman" w:eastAsia="Times New Roman" w:hAnsi="Times New Roman"/>
          <w:sz w:val="17"/>
          <w:szCs w:val="17"/>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This downturn has negatively affected, and may continue to have an adverse effect on, our business and operating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4" w:lineRule="exact"/>
        <w:rPr>
          <w:sz w:val="20"/>
          <w:szCs w:val="20"/>
          <w:color w:val="auto"/>
        </w:rPr>
      </w:pPr>
    </w:p>
    <w:p>
      <w:pPr>
        <w:ind w:firstLine="320"/>
        <w:spacing w:after="0" w:line="250"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artificial intelligence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Broadcom,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6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w:t>
      </w:r>
    </w:p>
    <w:p>
      <w:pPr>
        <w:spacing w:after="0" w:line="192"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Additionally, there is an increased risk that we may experience cybersecurity-related events such as phishing attacks and other security challenges as a result of hybrid working arrangements and employees and our service providers working remotely.</w:t>
      </w:r>
    </w:p>
    <w:p>
      <w:pPr>
        <w:spacing w:after="0" w:line="163" w:lineRule="exact"/>
        <w:rPr>
          <w:sz w:val="20"/>
          <w:szCs w:val="20"/>
          <w:color w:val="auto"/>
        </w:rPr>
      </w:pPr>
    </w:p>
    <w:p>
      <w:pPr>
        <w:ind w:right="60" w:firstLine="320"/>
        <w:spacing w:after="0" w:line="251" w:lineRule="auto"/>
        <w:rPr>
          <w:sz w:val="20"/>
          <w:szCs w:val="20"/>
          <w:color w:val="auto"/>
        </w:rPr>
      </w:pPr>
      <w:r>
        <w:rPr>
          <w:rFonts w:ascii="Times New Roman" w:cs="Times New Roman" w:eastAsia="Times New Roman" w:hAnsi="Times New Roman"/>
          <w:sz w:val="18"/>
          <w:szCs w:val="18"/>
          <w:color w:val="auto"/>
        </w:rPr>
        <w:t>In addition, the risk of cyber-attacks has increased in connection with the conflicts between Russia and Ukraine and in the Middle East.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4" w:lineRule="exact"/>
        <w:rPr>
          <w:sz w:val="20"/>
          <w:szCs w:val="20"/>
          <w:color w:val="auto"/>
        </w:rPr>
      </w:pPr>
    </w:p>
    <w:p>
      <w:pPr>
        <w:ind w:right="60" w:firstLine="320"/>
        <w:spacing w:after="0" w:line="251" w:lineRule="auto"/>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including those described in the risk factor entitled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the victim of business disruptions and security breaches, including cyber-attacks, which could lead to liability or could damage our reputation and financial results</w:t>
      </w:r>
      <w:r>
        <w:rPr>
          <w:rFonts w:ascii="Times New Roman" w:cs="Times New Roman" w:eastAsia="Times New Roman" w:hAnsi="Times New Roman"/>
          <w:sz w:val="18"/>
          <w:szCs w:val="18"/>
          <w:color w:val="auto"/>
        </w:rPr>
        <w:t>,” above. Our security measures may not detect or prevent such security breaches. Any such compromise of our information security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87" w:lineRule="exact"/>
        <w:rPr>
          <w:sz w:val="20"/>
          <w:szCs w:val="20"/>
          <w:color w:val="auto"/>
        </w:rPr>
      </w:pPr>
    </w:p>
    <w:p>
      <w:pPr>
        <w:ind w:right="560" w:firstLine="320"/>
        <w:spacing w:after="0" w:line="277"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spacing w:after="0" w:line="15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60"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Furthermore, our current or potential competitors may be acquired by third parties with 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196"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to the extent that the incoming administration modifies or repeals the CHIPS Act, the availability of any such incentives may be even less certain. If our competitors can benefit from such government incentives and we cannot, it could strengthen our competitors’ relative position and have a material adverse effect on our reputation and business.</w:t>
      </w:r>
    </w:p>
    <w:p>
      <w:pPr>
        <w:spacing w:after="0" w:line="18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6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w:t>
      </w:r>
    </w:p>
    <w:p>
      <w:pPr>
        <w:spacing w:after="0" w:line="181" w:lineRule="exact"/>
        <w:rPr>
          <w:sz w:val="20"/>
          <w:szCs w:val="20"/>
          <w:color w:val="auto"/>
        </w:rPr>
      </w:pPr>
    </w:p>
    <w:p>
      <w:pPr>
        <w:ind w:right="640" w:firstLine="320"/>
        <w:spacing w:after="0" w:line="277"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3"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6" w:lineRule="exact"/>
        <w:rPr>
          <w:rFonts w:ascii="Times New Roman" w:cs="Times New Roman" w:eastAsia="Times New Roman" w:hAnsi="Times New Roman"/>
          <w:sz w:val="18"/>
          <w:szCs w:val="18"/>
          <w:color w:val="auto"/>
        </w:rPr>
      </w:pPr>
    </w:p>
    <w:p>
      <w:pPr>
        <w:ind w:left="640" w:right="18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obtain other components such as capacitors that they need to incorporate in conjunction with our products, leading to potential downturn in the demand for our products;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6" w:lineRule="exact"/>
        <w:rPr>
          <w:rFonts w:ascii="Times New Roman" w:cs="Times New Roman" w:eastAsia="Times New Roman" w:hAnsi="Times New Roman"/>
          <w:sz w:val="18"/>
          <w:szCs w:val="18"/>
          <w:color w:val="auto"/>
        </w:rPr>
      </w:pPr>
    </w:p>
    <w:p>
      <w:pPr>
        <w:ind w:left="640" w:right="640" w:hanging="313"/>
        <w:spacing w:after="0" w:line="25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82" w:lineRule="exact"/>
        <w:rPr>
          <w:sz w:val="20"/>
          <w:szCs w:val="20"/>
          <w:color w:val="auto"/>
        </w:rPr>
      </w:pPr>
    </w:p>
    <w:p>
      <w:pPr>
        <w:ind w:right="60" w:firstLine="320"/>
        <w:spacing w:after="0" w:line="252"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which subjects us to risks of disruptions in our supply chain</w:t>
      </w:r>
    </w:p>
    <w:p>
      <w:pPr>
        <w:spacing w:after="0" w:line="224" w:lineRule="exact"/>
        <w:rPr>
          <w:sz w:val="20"/>
          <w:szCs w:val="20"/>
          <w:color w:val="auto"/>
        </w:rPr>
      </w:pPr>
    </w:p>
    <w:p>
      <w:pPr>
        <w:ind w:right="220" w:firstLine="320"/>
        <w:spacing w:after="0" w:line="257"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1" w:lineRule="exact"/>
        <w:rPr>
          <w:sz w:val="20"/>
          <w:szCs w:val="20"/>
          <w:color w:val="auto"/>
        </w:rPr>
      </w:pPr>
    </w:p>
    <w:p>
      <w:pPr>
        <w:ind w:right="340" w:firstLine="320"/>
        <w:spacing w:after="0" w:line="257"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0"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suppliers’ operations due to geopolitical changes, including risks related to deteriorating relations between China and Taiwan;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supply chain resulting from cyber-attacks on our suppliers’ information technology systems;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01"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we may have difficulty sourcing materials necessary to fulfill production requirements. Public health crises, such as the COVID-19 pandemic, may affect our suppliers’ production capabilities as a result of quarantines, closures of production facilities, lack of supplies or delays caused by restrictions on travel.</w:t>
      </w:r>
    </w:p>
    <w:p>
      <w:pPr>
        <w:spacing w:after="0" w:line="176" w:lineRule="exact"/>
        <w:rPr>
          <w:sz w:val="20"/>
          <w:szCs w:val="20"/>
          <w:color w:val="auto"/>
        </w:rPr>
      </w:pPr>
    </w:p>
    <w:p>
      <w:pPr>
        <w:ind w:right="140" w:firstLine="320"/>
        <w:spacing w:after="0" w:line="251"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spacing w:after="0" w:line="1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60"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such as the COVID-19 outbreak,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5"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spacing w:after="0" w:line="18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supply disruption, political instability and currency fluctuations</w:t>
      </w:r>
    </w:p>
    <w:p>
      <w:pPr>
        <w:spacing w:after="0" w:line="160"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During fiscal 2024, the percentage of our revenues derived from outside of the United States was 90% (and the revenue associated with end customers in China was 15%, and revenue attributed to China based on shipped-to location was 32%). We may not be able to maintain or increase global market demand for our products. Our international operations are subject to a number of risks, including:</w:t>
      </w:r>
    </w:p>
    <w:p>
      <w:pPr>
        <w:spacing w:after="0" w:line="186" w:lineRule="exact"/>
        <w:rPr>
          <w:sz w:val="20"/>
          <w:szCs w:val="20"/>
          <w:color w:val="auto"/>
        </w:rPr>
      </w:pPr>
    </w:p>
    <w:p>
      <w:pPr>
        <w:ind w:left="640" w:right="560" w:hanging="313"/>
        <w:spacing w:after="0" w:line="25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ind w:left="640" w:right="180" w:hanging="313"/>
        <w:spacing w:after="0" w:line="24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trade policies;</w:t>
      </w:r>
    </w:p>
    <w:p>
      <w:pPr>
        <w:ind w:left="640" w:right="240" w:hanging="313"/>
        <w:spacing w:after="0" w:line="25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tensions, geopolitical uncertainty, or governmental actions, including those arising from the trade dispute between the U.S. and China, may lead customers to favor products from non-US companies which could put us at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competitive disadvantage and result in decreased customer demand for our products and our customers’ products;</w:t>
      </w:r>
    </w:p>
    <w:p>
      <w:pPr>
        <w:spacing w:after="0" w:line="25" w:lineRule="exact"/>
        <w:rPr>
          <w:sz w:val="20"/>
          <w:szCs w:val="20"/>
          <w:color w:val="auto"/>
        </w:rPr>
      </w:pPr>
    </w:p>
    <w:p>
      <w:pPr>
        <w:jc w:val="both"/>
        <w:ind w:left="640" w:right="2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spacing w:after="0" w:line="1" w:lineRule="exact"/>
        <w:rPr>
          <w:rFonts w:ascii="Times New Roman" w:cs="Times New Roman" w:eastAsia="Times New Roman" w:hAnsi="Times New Roman"/>
          <w:sz w:val="18"/>
          <w:szCs w:val="18"/>
          <w:color w:val="auto"/>
        </w:rPr>
      </w:pPr>
    </w:p>
    <w:p>
      <w:pPr>
        <w:ind w:left="640" w:right="12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tariffs imposed on certain countries and sanctions or export controls imposed on customers or suppliers may affect our ability to sell and source our products;</w:t>
      </w: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6" w:lineRule="exact"/>
        <w:rPr>
          <w:rFonts w:ascii="Times New Roman" w:cs="Times New Roman" w:eastAsia="Times New Roman" w:hAnsi="Times New Roman"/>
          <w:sz w:val="18"/>
          <w:szCs w:val="18"/>
          <w:color w:val="auto"/>
        </w:rPr>
      </w:pPr>
    </w:p>
    <w:p>
      <w:pPr>
        <w:ind w:left="640" w:right="24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spacing w:after="0" w:line="1"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 including the impact of the Tax Cuts and Jobs Act, which increased our effective tax rate, in part due to the impact of the requirement to capitalize and amortize foreign research and development expenses beginning in 2022;</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6" w:lineRule="exact"/>
        <w:rPr>
          <w:rFonts w:ascii="Times New Roman" w:cs="Times New Roman" w:eastAsia="Times New Roman" w:hAnsi="Times New Roman"/>
          <w:sz w:val="18"/>
          <w:szCs w:val="18"/>
          <w:color w:val="auto"/>
        </w:rPr>
      </w:pPr>
    </w:p>
    <w:p>
      <w:pPr>
        <w:ind w:left="640" w:right="48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demand and the supply chain may be adversely affected by military conflict (including the ongoing conflicts in the Middle East and between Russia and Ukraine), terrorism, sanctions or other geopolitical events globally;</w:t>
      </w: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01" w:lineRule="exact"/>
        <w:rPr>
          <w:sz w:val="20"/>
          <w:szCs w:val="20"/>
          <w:color w:val="auto"/>
        </w:rPr>
      </w:pPr>
    </w:p>
    <w:p>
      <w:pPr>
        <w:ind w:right="360" w:firstLine="320"/>
        <w:spacing w:after="0" w:line="257" w:lineRule="auto"/>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could reduce our buying power with respect to international suppliers.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4"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83" w:lineRule="exact"/>
        <w:rPr>
          <w:sz w:val="20"/>
          <w:szCs w:val="20"/>
          <w:color w:val="auto"/>
        </w:rPr>
      </w:pPr>
    </w:p>
    <w:p>
      <w:pPr>
        <w:jc w:val="both"/>
        <w:ind w:right="400"/>
        <w:spacing w:after="0" w:line="264"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fiscal 2024 was $332.2 million, or 56.9%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61"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60" w:lineRule="exact"/>
        <w:rPr>
          <w:sz w:val="20"/>
          <w:szCs w:val="20"/>
          <w:color w:val="auto"/>
        </w:rPr>
      </w:pPr>
    </w:p>
    <w:p>
      <w:pPr>
        <w:ind w:right="80" w:firstLine="320"/>
        <w:spacing w:after="0" w:line="251"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products,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8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60"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1"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w:t>
      </w:r>
    </w:p>
    <w:p>
      <w:pPr>
        <w:spacing w:after="0" w:line="201"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224" w:lineRule="exact"/>
        <w:rPr>
          <w:sz w:val="20"/>
          <w:szCs w:val="20"/>
          <w:color w:val="auto"/>
        </w:rPr>
      </w:pPr>
    </w:p>
    <w:p>
      <w:pPr>
        <w:ind w:right="360" w:firstLine="320"/>
        <w:spacing w:after="0" w:line="277" w:lineRule="auto"/>
        <w:rPr>
          <w:sz w:val="20"/>
          <w:szCs w:val="20"/>
          <w:color w:val="auto"/>
        </w:rPr>
      </w:pPr>
      <w:r>
        <w:rPr>
          <w:rFonts w:ascii="Times New Roman" w:cs="Times New Roman" w:eastAsia="Times New Roman" w:hAnsi="Times New Roman"/>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markets or enhance our technical capabilities. The acquisitions that we have made and may make in the future entail a number of risks that could materially and adversely affect our business and operating results, including:</w:t>
      </w:r>
    </w:p>
    <w:p>
      <w:pPr>
        <w:spacing w:after="0" w:line="163"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technologies or products with our existing business and products;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financial resources above our planned investment levels;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suppliers and customers of the acquired company;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prior experience;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of licenses of intellectual property;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due to acquired overhead;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earn-outs and escrows;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company;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related goodwill and intangible assets.</w:t>
      </w:r>
    </w:p>
    <w:p>
      <w:pPr>
        <w:spacing w:after="0" w:line="201" w:lineRule="exact"/>
        <w:rPr>
          <w:sz w:val="20"/>
          <w:szCs w:val="20"/>
          <w:color w:val="auto"/>
        </w:rPr>
      </w:pPr>
    </w:p>
    <w:p>
      <w:pPr>
        <w:ind w:right="560" w:firstLine="320"/>
        <w:spacing w:after="0" w:line="277" w:lineRule="auto"/>
        <w:rPr>
          <w:sz w:val="20"/>
          <w:szCs w:val="20"/>
          <w:color w:val="auto"/>
        </w:rPr>
      </w:pPr>
      <w:r>
        <w:rPr>
          <w:rFonts w:ascii="Times New Roman" w:cs="Times New Roman" w:eastAsia="Times New Roman" w:hAnsi="Times New Roman"/>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profit</w:t>
      </w:r>
    </w:p>
    <w:p>
      <w:pPr>
        <w:spacing w:after="0" w:line="224"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4" w:lineRule="exact"/>
        <w:rPr>
          <w:sz w:val="20"/>
          <w:szCs w:val="20"/>
          <w:color w:val="auto"/>
        </w:rPr>
      </w:pPr>
    </w:p>
    <w:p>
      <w:pPr>
        <w:ind w:right="120" w:firstLine="320"/>
        <w:spacing w:after="0" w:line="252"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fiscal 2024, 67% of our revenue was derived from distributors (and 43%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have long-term commitments from our customers</w:t>
      </w:r>
    </w:p>
    <w:p>
      <w:pPr>
        <w:spacing w:after="0" w:line="224"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1" w:lineRule="exact"/>
        <w:rPr>
          <w:sz w:val="20"/>
          <w:szCs w:val="20"/>
          <w:color w:val="auto"/>
        </w:rPr>
      </w:pPr>
    </w:p>
    <w:p>
      <w:pPr>
        <w:ind w:right="800" w:firstLine="320"/>
        <w:spacing w:after="0" w:line="277" w:lineRule="auto"/>
        <w:rPr>
          <w:sz w:val="20"/>
          <w:szCs w:val="20"/>
          <w:color w:val="auto"/>
        </w:rPr>
      </w:pPr>
      <w:r>
        <w:rPr>
          <w:rFonts w:ascii="Times New Roman" w:cs="Times New Roman" w:eastAsia="Times New Roman" w:hAnsi="Times New Roman"/>
          <w:sz w:val="18"/>
          <w:szCs w:val="18"/>
          <w:color w:val="auto"/>
        </w:rPr>
        <w:t>Customers may decide not to purchase our products at all, purchase fewer products than they did in the past, or alter their purchasing patterns, particularly because:</w:t>
      </w:r>
    </w:p>
    <w:p>
      <w:pPr>
        <w:spacing w:after="0" w:line="163"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5" w:lineRule="exact"/>
        <w:rPr>
          <w:rFonts w:ascii="Times New Roman" w:cs="Times New Roman" w:eastAsia="Times New Roman" w:hAnsi="Times New Roman"/>
          <w:sz w:val="18"/>
          <w:szCs w:val="18"/>
          <w:color w:val="auto"/>
        </w:rPr>
      </w:pPr>
    </w:p>
    <w:p>
      <w:pPr>
        <w:ind w:left="640" w:right="400" w:hanging="313"/>
        <w:spacing w:after="0" w:line="24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6" w:lineRule="exact"/>
        <w:rPr>
          <w:rFonts w:ascii="Times New Roman" w:cs="Times New Roman" w:eastAsia="Times New Roman" w:hAnsi="Times New Roman"/>
          <w:sz w:val="18"/>
          <w:szCs w:val="18"/>
          <w:color w:val="auto"/>
        </w:rPr>
      </w:pPr>
    </w:p>
    <w:p>
      <w:pPr>
        <w:ind w:left="640" w:right="320" w:hanging="313"/>
        <w:spacing w:after="0" w:line="25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60"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could adversely affect our business, results of operations, and financial condition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COVID-19 pandemic negatively impacted the global economy, disrupted our operations, global supply chains and the operations of our customers.</w:t>
      </w:r>
    </w:p>
    <w:p>
      <w:pPr>
        <w:spacing w:after="0" w:line="22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impacts of any future public health crises on our business, customers, suppliers, employees, markets and financial results and condition are uncertain and dependent on numerous unpredictable factors outside of our control, including:</w:t>
      </w:r>
    </w:p>
    <w:p>
      <w:pPr>
        <w:spacing w:after="0" w:line="163"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impact of a global economic recession or depression that could reduce demand and/or pricing for our products;</w:t>
      </w:r>
    </w:p>
    <w:p>
      <w:pPr>
        <w:spacing w:after="0" w:line="25" w:lineRule="exact"/>
        <w:rPr>
          <w:rFonts w:ascii="Times New Roman" w:cs="Times New Roman" w:eastAsia="Times New Roman" w:hAnsi="Times New Roman"/>
          <w:sz w:val="18"/>
          <w:szCs w:val="18"/>
          <w:color w:val="auto"/>
        </w:rPr>
      </w:pPr>
    </w:p>
    <w:p>
      <w:pPr>
        <w:ind w:left="640" w:right="140" w:hanging="313"/>
        <w:spacing w:after="0" w:line="24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and supply chain (and the business and supply chains of our customers) in connection with the sourcing of materials, equipment and engineering support, and services from geographic areas impacted by the public health crisis, including disruptions caused by illnesses, quarantines and restrictions on people’s ability to work, office and factory closures, disruptions to ports and other shipping infrastructure, border closures, and other travel or health-related restrictions;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limitations on the ability of our customers to make timely payments;</w:t>
      </w:r>
    </w:p>
    <w:p>
      <w:pPr>
        <w:spacing w:after="0" w:line="6" w:lineRule="exact"/>
        <w:rPr>
          <w:rFonts w:ascii="Times New Roman" w:cs="Times New Roman" w:eastAsia="Times New Roman" w:hAnsi="Times New Roman"/>
          <w:sz w:val="18"/>
          <w:szCs w:val="18"/>
          <w:color w:val="auto"/>
        </w:rPr>
      </w:pPr>
    </w:p>
    <w:p>
      <w:pPr>
        <w:ind w:left="640" w:right="80" w:hanging="313"/>
        <w:spacing w:after="0" w:line="24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to limit exposure to and spreading of such infectious diseases, such as travel restrictions, quarantines and business shutdowns or slowdowns, facility closures or other restrictions;</w:t>
      </w:r>
    </w:p>
    <w:p>
      <w:pPr>
        <w:ind w:left="640" w:right="280" w:hanging="313"/>
        <w:spacing w:after="0" w:line="24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that could limit our ability to obtain external financing to fund our operations and capital expenditures or to refinance our existing indebtedness;</w:t>
      </w: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asset impairments, including goodwill, intangible assets, investments and other assets;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cyber-related risks due to hybrid working models and increased remote working;</w:t>
      </w:r>
    </w:p>
    <w:p>
      <w:pPr>
        <w:spacing w:after="0" w:line="6" w:lineRule="exact"/>
        <w:rPr>
          <w:rFonts w:ascii="Times New Roman" w:cs="Times New Roman" w:eastAsia="Times New Roman" w:hAnsi="Times New Roman"/>
          <w:sz w:val="18"/>
          <w:szCs w:val="18"/>
          <w:color w:val="auto"/>
        </w:rPr>
      </w:pPr>
    </w:p>
    <w:p>
      <w:pPr>
        <w:ind w:left="640" w:right="200" w:hanging="313"/>
        <w:spacing w:after="0" w:line="24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implementing and managing a hybrid model of working from home or the office, establishing appropriate office safety protocols, maintaining our corporate culture, and continuing to attract, retain and motivate our employees;</w:t>
      </w: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our computer systems or communication systems;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risks, including difficulties in liquidating investments due to current market conditions and adverse investment performance.</w:t>
      </w:r>
    </w:p>
    <w:p>
      <w:pPr>
        <w:spacing w:after="0" w:line="201"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7"/>
          <w:szCs w:val="17"/>
          <w:color w:val="auto"/>
        </w:rPr>
        <w:t>There can be no assurance that any decrease in sales resulting from any public health crisis will be offset by increased sales in subsequent periods. Even after any public health crisis has subsided, we may continue to experience materially adverse impacts to our business as a result of its global economic impact, including any recession, economic downturn or increased unemployment that has occurred or may occur in the future. An extended period of global supply chain and economic disruption could materially affect our business, results of operations, access to sources of liquidity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pacing w:after="0" w:line="224"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Additionally, we have used and may increase our use of new technology such as AI or generative AI to enhance our products, decrease our development times, or improve our customers’ efficiency.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cyber security vulnerabilities. Any ineffective AI usage could negatively impact our or our customer’s business reputation and negatively impact our competitive standing.</w:t>
      </w:r>
    </w:p>
    <w:p>
      <w:pPr>
        <w:spacing w:after="0" w:line="186" w:lineRule="exact"/>
        <w:rPr>
          <w:sz w:val="20"/>
          <w:szCs w:val="20"/>
          <w:color w:val="auto"/>
        </w:rPr>
      </w:pPr>
    </w:p>
    <w:p>
      <w:pPr>
        <w:ind w:right="280" w:firstLine="320"/>
        <w:spacing w:after="0" w:line="257"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81" w:lineRule="exact"/>
        <w:rPr>
          <w:sz w:val="20"/>
          <w:szCs w:val="20"/>
          <w:color w:val="auto"/>
        </w:rPr>
      </w:pPr>
    </w:p>
    <w:p>
      <w:pPr>
        <w:jc w:val="both"/>
        <w:ind w:right="60" w:firstLine="320"/>
        <w:spacing w:after="0" w:line="266" w:lineRule="auto"/>
        <w:rPr>
          <w:sz w:val="20"/>
          <w:szCs w:val="20"/>
          <w:color w:val="auto"/>
        </w:rPr>
      </w:pPr>
      <w:r>
        <w:rPr>
          <w:rFonts w:ascii="Times New Roman" w:cs="Times New Roman" w:eastAsia="Times New Roman" w:hAnsi="Times New Roman"/>
          <w:sz w:val="17"/>
          <w:szCs w:val="17"/>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w:t>
      </w:r>
    </w:p>
    <w:p>
      <w:pPr>
        <w:spacing w:after="0" w:line="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4"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6"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any of our more significant products;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continued market acceptance;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technological standards or changes to existing standards that we are unable to address with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release new products or enhanced versions of our existing products on a timely basis;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new products to achieve market acceptance.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Any disposition of a business or product line would entail a number of risks that could materially and adversely affect our business and operating results, including:</w:t>
      </w:r>
    </w:p>
    <w:p>
      <w:pPr>
        <w:spacing w:after="0" w:line="163"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separating the divested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relations with customers who previously purchased products from our disposed product line;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with suppliers due to reduced aggregate volume;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 relations;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disposition is not completed on the expected timeline, or at all;</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and licensing of intellectual property;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do not realize the anticipated benefits from the disposition;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third-party claims arising out of the disposition;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and other liabilities related to the transition services provided in connection with the disposition;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dispositions;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Disposition-related disputes, including disputes over earn-outs and escrows.</w:t>
      </w:r>
    </w:p>
    <w:p>
      <w:pPr>
        <w:spacing w:after="0" w:line="19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36"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4" w:lineRule="exact"/>
        <w:rPr>
          <w:sz w:val="20"/>
          <w:szCs w:val="20"/>
          <w:color w:val="auto"/>
        </w:rPr>
      </w:pPr>
    </w:p>
    <w:p>
      <w:pPr>
        <w:jc w:val="both"/>
        <w:ind w:right="120" w:firstLine="320"/>
        <w:spacing w:after="0" w:line="257"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Additionally, in certain products, some of our customers offer their own competitive products. These customers may find it advantageous to support their own offerings in the marketplace in lieu of promoting or using our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privacy and data security/protection laws could have an adverse effect on our operations</w:t>
      </w:r>
    </w:p>
    <w:p>
      <w:pPr>
        <w:spacing w:after="0" w:line="2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such as the European Union’s General Data Protection Regulation (“GDPR”) regarding privacy, data protection and data security.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4"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5"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spacing w:after="0" w:line="187"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We previously identified a material weakness in our internal control over financial reporting. Although we have remediated this material weakness, we may identify additional material weaknesses or other deficiencies in the future or otherwise fail to maintain an effective system of internal controls, including disclosure controls and procedures, and this could result in material misstatements of our financial statements or cause us to fail to meet our reporting obligations</w:t>
      </w:r>
    </w:p>
    <w:p>
      <w:pPr>
        <w:spacing w:after="0" w:line="179"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 xml:space="preserve">As more fully disclosed in </w:t>
      </w:r>
      <w:r>
        <w:rPr>
          <w:rFonts w:ascii="Times New Roman" w:cs="Times New Roman" w:eastAsia="Times New Roman" w:hAnsi="Times New Roman"/>
          <w:sz w:val="18"/>
          <w:szCs w:val="18"/>
          <w:i w:val="1"/>
          <w:iCs w:val="1"/>
          <w:color w:val="auto"/>
        </w:rPr>
        <w:t>Item 9A. Controls and Procedures</w:t>
      </w:r>
      <w:r>
        <w:rPr>
          <w:rFonts w:ascii="Times New Roman" w:cs="Times New Roman" w:eastAsia="Times New Roman" w:hAnsi="Times New Roman"/>
          <w:sz w:val="18"/>
          <w:szCs w:val="18"/>
          <w:color w:val="auto"/>
        </w:rPr>
        <w:t xml:space="preserve"> of this Annual Report, we previously identified a material weakness that existed as of the end of our fiscal 2023 regarding our internal controls over inventory valuation, primarily the undue reliance on forecasted inventory demand which was not subjected to a sufficient level of management review. As a result of this material weakness,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has been remediated. While the material weakness has been remediated, we continue to seek improvements to enhance our control environment and to strengthen our internal controls to provide reasonable assurance that our financial statements continue to be fairly stated in all material respects.</w:t>
      </w:r>
    </w:p>
    <w:p>
      <w:pPr>
        <w:spacing w:after="0" w:line="189"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0"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60"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76"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6" w:lineRule="exact"/>
        <w:rPr>
          <w:sz w:val="20"/>
          <w:szCs w:val="20"/>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selling or manufacturing certain products, services or processes;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which license may require the payment of substantial royalties or may not be available on reasonable terms or at all;</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time delays and lost business opportunities to develop alternative technologies or redesign products; or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4" w:lineRule="exact"/>
        <w:rPr>
          <w:sz w:val="20"/>
          <w:szCs w:val="20"/>
          <w:color w:val="auto"/>
        </w:rPr>
      </w:pPr>
    </w:p>
    <w:p>
      <w:pPr>
        <w:ind w:firstLine="320"/>
        <w:spacing w:after="0" w:line="267" w:lineRule="auto"/>
        <w:rPr>
          <w:sz w:val="20"/>
          <w:szCs w:val="20"/>
          <w:color w:val="auto"/>
        </w:rPr>
      </w:pPr>
      <w:r>
        <w:rPr>
          <w:rFonts w:ascii="Times New Roman" w:cs="Times New Roman" w:eastAsia="Times New Roman" w:hAnsi="Times New Roman"/>
          <w:sz w:val="17"/>
          <w:szCs w:val="17"/>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incorporate technology licensed from third parties</w:t>
      </w:r>
    </w:p>
    <w:p>
      <w:pPr>
        <w:spacing w:after="0" w:line="224"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 w:cs="Times New Roman" w:eastAsia="Times New Roman" w:hAnsi="Times New Roman"/>
          <w:sz w:val="18"/>
          <w:szCs w:val="18"/>
          <w:i w:val="1"/>
          <w:iCs w:val="1"/>
          <w:color w:val="auto"/>
        </w:rPr>
        <w:t>Significant litigation over intellectual property in our industry may cause us to become involved in costly and lengthy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which could seriously harm our business. </w:t>
      </w:r>
      <w:r>
        <w:rPr>
          <w:rFonts w:ascii="Times New Roman" w:cs="Times New Roman" w:eastAsia="Times New Roman" w:hAnsi="Times New Roman"/>
          <w:sz w:val="18"/>
          <w:szCs w:val="18"/>
          <w:color w:val="auto"/>
        </w:rPr>
        <w:t>Furthermore, any failure of third-party technology to perform properly would adversely affect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incorporating such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financial services industry could adversely affect our operations and financial condition</w:t>
      </w:r>
    </w:p>
    <w:p>
      <w:pPr>
        <w:spacing w:after="0" w:line="224"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in interest rates have led to a decline in the market value of debt securities issued with interest rates below current market interest rates. Sales of such securities prior to their maturity would result in the recognition of losses previously unrealized.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borrowings under our credit agreement or other indebtedness could adversely affect our operations and financial condition</w:t>
      </w:r>
    </w:p>
    <w:p>
      <w:pPr>
        <w:spacing w:after="0" w:line="224" w:lineRule="exact"/>
        <w:rPr>
          <w:sz w:val="20"/>
          <w:szCs w:val="20"/>
          <w:color w:val="auto"/>
        </w:rPr>
      </w:pPr>
    </w:p>
    <w:p>
      <w:pPr>
        <w:ind w:right="60" w:firstLine="320"/>
        <w:spacing w:after="0" w:line="268" w:lineRule="auto"/>
        <w:rPr>
          <w:sz w:val="20"/>
          <w:szCs w:val="20"/>
          <w:color w:val="auto"/>
        </w:rPr>
      </w:pPr>
      <w:r>
        <w:rPr>
          <w:rFonts w:ascii="Times New Roman" w:cs="Times New Roman" w:eastAsia="Times New Roman" w:hAnsi="Times New Roman"/>
          <w:sz w:val="17"/>
          <w:szCs w:val="17"/>
          <w:color w:val="auto"/>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March 2025. We did not have any outstanding indebtedness under the credit facility at the time the waiver was granted, and the waiver allowed us to borrow under the facility without compliance with that specific financial covenant, although we have not borrowed under the facility since the granting of the waiver. If we are unable to satisfy or otherwise obtain waivers of the covenants under our credit facility, we may be prohibited from borrowing thereunder. Further, if we breach any of the covenants under our credit facility and do not obtain appropriate waivers, then, subject to any applicable cure periods, any outstanding indebtedness thereunder could be declared immediately due and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could seek to raise additional debt or equity capital in the future, but additional capital may not be available on terms acceptable to us, or at all</w:t>
      </w:r>
    </w:p>
    <w:p>
      <w:pPr>
        <w:spacing w:after="0" w:line="235"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4" w:lineRule="exact"/>
        <w:rPr>
          <w:sz w:val="20"/>
          <w:szCs w:val="20"/>
          <w:color w:val="auto"/>
        </w:rPr>
      </w:pPr>
    </w:p>
    <w:p>
      <w:pPr>
        <w:ind w:right="300" w:firstLine="320"/>
        <w:spacing w:after="0" w:line="277"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3"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6" w:lineRule="exact"/>
        <w:rPr>
          <w:rFonts w:ascii="Times New Roman" w:cs="Times New Roman" w:eastAsia="Times New Roman" w:hAnsi="Times New Roman"/>
          <w:sz w:val="18"/>
          <w:szCs w:val="18"/>
          <w:color w:val="auto"/>
        </w:rPr>
      </w:pPr>
    </w:p>
    <w:p>
      <w:pPr>
        <w:ind w:left="640" w:right="760" w:hanging="313"/>
        <w:spacing w:after="0" w:line="24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5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60" w:lineRule="exact"/>
        <w:rPr>
          <w:sz w:val="20"/>
          <w:szCs w:val="20"/>
          <w:color w:val="auto"/>
        </w:rPr>
      </w:pPr>
    </w:p>
    <w:p>
      <w:pPr>
        <w:ind w:right="380" w:firstLine="320"/>
        <w:spacing w:after="0" w:line="277"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63"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to be elected on a staggered basis, one class each year;</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our preferred stock in one or more series without further authorization of our stockholders;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stockholders to call a special meeting of stockholders;</w:t>
      </w:r>
    </w:p>
    <w:p>
      <w:pPr>
        <w:spacing w:after="0" w:line="6" w:lineRule="exact"/>
        <w:rPr>
          <w:rFonts w:ascii="Times New Roman" w:cs="Times New Roman" w:eastAsia="Times New Roman" w:hAnsi="Times New Roman"/>
          <w:sz w:val="18"/>
          <w:szCs w:val="18"/>
          <w:color w:val="auto"/>
        </w:rPr>
      </w:pPr>
    </w:p>
    <w:p>
      <w:pPr>
        <w:ind w:left="640" w:right="740" w:hanging="313"/>
        <w:spacing w:after="0" w:line="24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 and</w:t>
      </w: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supermajority vote be obtained to amend or repeal certain provisions of our certificate of incorporation.</w:t>
      </w:r>
    </w:p>
    <w:p>
      <w:pPr>
        <w:spacing w:after="0" w:line="201" w:lineRule="exact"/>
        <w:rPr>
          <w:sz w:val="20"/>
          <w:szCs w:val="20"/>
          <w:color w:val="auto"/>
        </w:rPr>
      </w:pPr>
    </w:p>
    <w:p>
      <w:pPr>
        <w:ind w:right="240" w:firstLine="320"/>
        <w:spacing w:after="0" w:line="277" w:lineRule="auto"/>
        <w:rPr>
          <w:sz w:val="20"/>
          <w:szCs w:val="20"/>
          <w:color w:val="auto"/>
        </w:rPr>
      </w:pPr>
      <w:r>
        <w:rPr>
          <w:rFonts w:ascii="Times New Roman" w:cs="Times New Roman" w:eastAsia="Times New Roman" w:hAnsi="Times New Roman"/>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5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Our Board of Directors oversees our risk management program, and because information security is a top priority and an important component of our day-to-day operations, cybersecurity is part of our overall approach to enterprise risk management. The scope of cybersecurity risk management encompasses all aspects of business operations, including supply chain risks and production manufacturing operations. Our cybersecurity practices are based on industry practices and frameworks such as those established by the International Organization for Standardization and the National Institute of Standards and Technology. We recognize the importance of the continued protection of our employee, customer, supplier and partner data and address operational risks from cybersecurity threats through a cross-functional approach focused on preserving the confidentiality, integrity and availability of the information that we collect, process and store.</w:t>
      </w:r>
    </w:p>
    <w:p>
      <w:pPr>
        <w:spacing w:after="0" w:line="187" w:lineRule="exact"/>
        <w:rPr>
          <w:sz w:val="20"/>
          <w:szCs w:val="20"/>
          <w:color w:val="auto"/>
        </w:rPr>
      </w:pPr>
    </w:p>
    <w:p>
      <w:pPr>
        <w:ind w:right="200" w:firstLine="320"/>
        <w:spacing w:after="0" w:line="251" w:lineRule="auto"/>
        <w:rPr>
          <w:sz w:val="20"/>
          <w:szCs w:val="20"/>
          <w:color w:val="auto"/>
        </w:rPr>
      </w:pPr>
      <w:r>
        <w:rPr>
          <w:rFonts w:ascii="Times New Roman" w:cs="Times New Roman" w:eastAsia="Times New Roman" w:hAnsi="Times New Roman"/>
          <w:sz w:val="18"/>
          <w:szCs w:val="18"/>
          <w:color w:val="auto"/>
        </w:rPr>
        <w:t>We have implemented cybersecurity policies, processes, and controls to assist management in our assessment, identification and management of risks from cybersecurity threats. Our Security Operations team scans the infrastructure, monitors events, analyzes threats, and coordinates our incident response pursuant to our incident response plan, which includes the process to be followed for reporting of incidents. Our cybersecurity risk management involves identifying information assets, their sensitivity and potential threats, followed by assessing and prioritizing risks. We employ various tools and techniques like threat modeling, vulnerability scanners, and penetration testing. Based on the assessment, security measures are planned, prioritized and implemented. We have implemented regular security awareness training programs for employees to educate them on cybersecurity best practices and to recognize social engineering and phishing attempts. We also assess and manage cybersecurity risks associated with relevant third-party service providers, including those in our supply chain or who have access to our data or systems. Our cybersecurity process is iterative, with regular reviews and updates to help improve and keep abreast of a dynamic and continuously evolving threat landscape.</w:t>
      </w:r>
    </w:p>
    <w:p>
      <w:pPr>
        <w:spacing w:after="0" w:line="187"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7"/>
          <w:szCs w:val="17"/>
          <w:color w:val="auto"/>
        </w:rPr>
        <w:t>We describe whether and how risks from cybersecurity threats have materially affected or are reasonably likely to materially affect us, our business strategy, results of operations, or financial condition under the headings “We may be the victim of business disruptions and security breaches, including cyber-attacks, which could lead to liability or could damage our reputation and financial results” and “We may be subject to information technology failures that could damage our reputation, business operations and financial condition” included as part of our risk factors disclosures in “Risk Factors” above.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20" w:firstLine="320"/>
        <w:spacing w:after="0" w:line="277" w:lineRule="auto"/>
        <w:rPr>
          <w:sz w:val="20"/>
          <w:szCs w:val="20"/>
          <w:color w:val="auto"/>
        </w:rPr>
      </w:pPr>
      <w:r>
        <w:rPr>
          <w:rFonts w:ascii="Times New Roman" w:cs="Times New Roman" w:eastAsia="Times New Roman" w:hAnsi="Times New Roman"/>
          <w:sz w:val="18"/>
          <w:szCs w:val="18"/>
          <w:color w:val="auto"/>
        </w:rPr>
        <w:t>In the last three fiscal years, we have not identified material cybersecurity incidents, and the expenses we have incurred from cybersecurity incidents were immaterial, including penalties and settlements, of which there were 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ind w:right="100" w:firstLine="320"/>
        <w:spacing w:after="0" w:line="251" w:lineRule="auto"/>
        <w:rPr>
          <w:sz w:val="20"/>
          <w:szCs w:val="20"/>
          <w:color w:val="auto"/>
        </w:rPr>
      </w:pPr>
      <w:r>
        <w:rPr>
          <w:rFonts w:ascii="Times New Roman" w:cs="Times New Roman" w:eastAsia="Times New Roman" w:hAnsi="Times New Roman"/>
          <w:sz w:val="18"/>
          <w:szCs w:val="18"/>
          <w:color w:val="auto"/>
        </w:rPr>
        <w:t>Our Board of Directors is responsible for risk management oversight and has delegated to our Audit Committee oversight responsibility for reviewing the effectiveness of our governance and management of cybersecurity risks. The Audit Committee regularly reviews our policies and practices with respect to risk management, including cybersecurity risks, and reports to the full Board of Directors based on these reviews. The Audit Committee also receives a report containing information security risk posture details, remediation plan execution progress and pertinent threat intelligence updates from the Chief Security Officer (“CSO”) on a quarterly basis. At least annually, but more frequently as necessary, threats from cybersecurity risks and our action plans relating to those risks also are considered by the full Board during meeting discussions of enterprise risks. Members of management, including the Chief Executive Officer, Chief Financial Officer and Chief Legal Officer may also report directly to the Board of Directors on significant risk management issues, including cybersecurity threats and incidents.</w:t>
      </w:r>
    </w:p>
    <w:p>
      <w:pPr>
        <w:spacing w:after="0" w:line="190"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We have an Executive Security Steering Council (the “ESC”) comprised of members of our executive team, our Chief Information Officer, and CSO. Our CSO, in coordination with the ESC, works collaboratively to implement our enterprise-wide cybersecurity strategy, policy, standards, architecture, and processes. Our Security Operations, Security Engineering, and Governance teams communicate with and report to the CSO, enabling the CSO and the ESC to monitor the detection, mitigation, and remediation of cybersecurity incidents. Our CSO has over 27 years of security experience in multiple relevant technology and leadership disciplines, including prior work experience leading cybersecurity teams, business strategies and security solution architecture. He also holds several relevant degrees and certifications, including as a Certified Information Systems Security Professional (“CISSP”) and a Certified Secure Software Lifecycle Professional (“CSSLP”), and holds Honors BSc degrees in Computer Science and Physics.</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4"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Our corporate headquarters, housing engineering, sales and marketing, administration and test operations, is located in Austin, Texas. Our headquarters facilities consist of two buildings, which we own, that are located on land which we have leased through 2099. The buildings contain approximately 441,000 square feet of floor space, of which approximately 47,000 square feet were leased to other tenants. In addition to these properties, we lease smaller facilities in various locations in the United States, Canada, China, Denmark, Finland, France, Germany, Hungary, India, Italy, Japan, Norway, Singapore, South Korea, Taiwan and the United Kingdom for engineering, sales and marketing, administrative and manufacturing support activities. We believe that these facilities are suitable and adequate to meet our current operating needs.</w:t>
      </w:r>
    </w:p>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ind w:right="500" w:firstLine="320"/>
        <w:spacing w:after="0" w:line="279" w:lineRule="auto"/>
        <w:rPr>
          <w:sz w:val="20"/>
          <w:szCs w:val="20"/>
          <w:color w:val="auto"/>
        </w:rPr>
      </w:pPr>
      <w:r>
        <w:rPr>
          <w:rFonts w:ascii="Times New Roman" w:cs="Times New Roman" w:eastAsia="Times New Roman" w:hAnsi="Times New Roman"/>
          <w:sz w:val="18"/>
          <w:szCs w:val="18"/>
          <w:color w:val="auto"/>
        </w:rPr>
        <w:t xml:space="preserve">Information regarding legal proceedings is provided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Such information is incorporated by reference herein.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97"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“SLAB”. As of January 28, 2025, there were 46 holders of record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97"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currently do not intend to pay cash dividends. We currently expect to retain any future earnings to fund the operation and expansion of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97" w:lineRule="exact"/>
        <w:rPr>
          <w:sz w:val="20"/>
          <w:szCs w:val="20"/>
          <w:color w:val="auto"/>
        </w:rPr>
      </w:pPr>
    </w:p>
    <w:p>
      <w:pPr>
        <w:ind w:right="100" w:firstLine="320"/>
        <w:spacing w:after="0" w:line="277" w:lineRule="auto"/>
        <w:rPr>
          <w:sz w:val="20"/>
          <w:szCs w:val="20"/>
          <w:color w:val="auto"/>
        </w:rPr>
      </w:pPr>
      <w:r>
        <w:rPr>
          <w:rFonts w:ascii="Times New Roman" w:cs="Times New Roman" w:eastAsia="Times New Roman" w:hAnsi="Times New Roman"/>
          <w:sz w:val="18"/>
          <w:szCs w:val="18"/>
          <w:color w:val="auto"/>
        </w:rPr>
        <w:t>The graph depicted below shows a comparison of cumulative total stockholder returns for an investment in Silicon Laboratories Inc. common stock, the NASDAQ Composite Index and the PHLX Semiconductor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114935</wp:posOffset>
            </wp:positionV>
            <wp:extent cx="5041265" cy="3753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41265" cy="375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 Index</w:t>
            </w: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12/28/19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01/02/21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01/01/22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12/30/23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12/28/24</w:t>
            </w:r>
          </w:p>
        </w:tc>
      </w:tr>
      <w:tr>
        <w:trPr>
          <w:trHeight w:val="25"/>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Silicon Laboratories Inc.</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w:t>
            </w:r>
          </w:p>
        </w:tc>
      </w:tr>
      <w:tr>
        <w:trPr>
          <w:trHeight w:val="24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8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227.78</w:t>
            </w:r>
          </w:p>
        </w:tc>
      </w:tr>
      <w:tr>
        <w:trPr>
          <w:trHeight w:val="26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PHLX Semiconductor Index</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294.12</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5" w:lineRule="exact"/>
        <w:rPr>
          <w:sz w:val="20"/>
          <w:szCs w:val="20"/>
          <w:color w:val="auto"/>
        </w:rPr>
      </w:pPr>
    </w:p>
    <w:p>
      <w:pPr>
        <w:ind w:left="320" w:right="380" w:hanging="313"/>
        <w:spacing w:after="0" w:line="255"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graph assumes that $100 was invested in our common stock and in each index at the market close on December 28, 2019, and that all dividends were reinvested. No cash dividends have been declared on our common stock.</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December 28, 2024.</w:t>
      </w:r>
    </w:p>
    <w:p>
      <w:pPr>
        <w:spacing w:after="0" w:line="220" w:lineRule="exact"/>
        <w:rPr>
          <w:sz w:val="20"/>
          <w:szCs w:val="20"/>
          <w:color w:val="auto"/>
        </w:rPr>
      </w:pPr>
    </w:p>
    <w:p>
      <w:pPr>
        <w:ind w:firstLine="320"/>
        <w:spacing w:after="0" w:line="307" w:lineRule="auto"/>
        <w:rPr>
          <w:sz w:val="20"/>
          <w:szCs w:val="20"/>
          <w:color w:val="auto"/>
        </w:rPr>
      </w:pPr>
      <w:r>
        <w:rPr>
          <w:rFonts w:ascii="Times New Roman" w:cs="Times New Roman" w:eastAsia="Times New Roman" w:hAnsi="Times New Roman"/>
          <w:sz w:val="17"/>
          <w:szCs w:val="17"/>
          <w:color w:val="auto"/>
        </w:rPr>
        <w:t>Our share repurchase program authorized repurchases up to $100 million through December 2024. The program allowed for repurchases to be made in the open market or in private transactions, including structured or accelerated transactions, subject to applicable legal requirements and market conditions.</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7" w:lineRule="exact"/>
        <w:rPr>
          <w:sz w:val="20"/>
          <w:szCs w:val="20"/>
          <w:color w:val="auto"/>
        </w:rPr>
      </w:pPr>
    </w:p>
    <w:p>
      <w:pPr>
        <w:ind w:right="320" w:firstLine="320"/>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the Consolidated Financial Statements and related notes thereto included elsewhere in this report. This discussion contains forward-looking statements. Please see the “Cautionary Statement” and “Risk Factors” above for discussions of the uncertainties, risks and assumptions associated with these statements. Our fiscal year-end financial reporting periods are a 52- or 53-week fiscal year that ends on the Saturday closest to December 31. Fiscal 2024, 2023, and 2022 had 52 weeks. Fiscal 2024, 2023, and 2022 ended on December 28, 2024, December 30, 2023 and December 31, 2022,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4" w:lineRule="exact"/>
        <w:rPr>
          <w:sz w:val="20"/>
          <w:szCs w:val="20"/>
          <w:color w:val="auto"/>
        </w:rPr>
      </w:pPr>
    </w:p>
    <w:p>
      <w:pPr>
        <w:ind w:firstLine="320"/>
        <w:spacing w:after="0" w:line="268" w:lineRule="auto"/>
        <w:rPr>
          <w:sz w:val="20"/>
          <w:szCs w:val="20"/>
          <w:color w:val="auto"/>
        </w:rPr>
      </w:pPr>
      <w:r>
        <w:rPr>
          <w:rFonts w:ascii="Times New Roman" w:cs="Times New Roman" w:eastAsia="Times New Roman" w:hAnsi="Times New Roman"/>
          <w:sz w:val="17"/>
          <w:szCs w:val="17"/>
          <w:color w:val="auto"/>
        </w:rPr>
        <w:t>In recent years, the global economic environment has experienced inflationary pressure, high interest rates, and geopolitical tension, and we have experienced declines in revenues as our customers slowed purchases to reduce existing inventories in a softening market. While certain conditions improved during fiscal 2024, including deceleration of inflation and lowering of interest rates in certain geographies, there continues to be uncertainty regarding overall macroeconomic conditions, including increased geopolitical tensions, risk of recessions, and the effects of potential trade policies including tariffs. Although we saw sequential improvements in revenues over the course of fiscal 2024, the extent of the continued impact, or any new impact, of macroeconomic conditions on our operational and financial performance will depend on future developments, their impact to the business of our suppliers and/or customers, and other items identified under “Risk Factors” above, all of which are uncertain and cannot be predicted. Any extended period of global supply chain and economic disruption could materially affect our business, results of operations, access to sources of liquidity,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spacing w:after="0" w:line="146" w:lineRule="exact"/>
        <w:rPr>
          <w:sz w:val="20"/>
          <w:szCs w:val="20"/>
          <w:color w:val="auto"/>
        </w:rPr>
      </w:pPr>
    </w:p>
    <w:p>
      <w:pPr>
        <w:ind w:right="240" w:firstLine="320"/>
        <w:spacing w:after="0" w:line="254"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integrated chip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59" w:lineRule="exact"/>
        <w:rPr>
          <w:sz w:val="20"/>
          <w:szCs w:val="20"/>
          <w:color w:val="auto"/>
        </w:rPr>
      </w:pPr>
    </w:p>
    <w:p>
      <w:pPr>
        <w:ind w:right="80" w:firstLine="320"/>
        <w:spacing w:after="0" w:line="252"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6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197"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Revenues decreased $197.9 million in fiscal 2024 compared to fiscal 2023 due to decreased revenues from both our Industrial &amp; Commercial products and Home &amp; Life products. Gross margin decreased to 53.4% in fiscal 2024 compared to 58.9% in fiscal 2023 primarily due to variations in customer and product mix. Operating expenses decreased $7.1 million in fiscal 2024 compared to fiscal 2023 due primarily to continued efforts to contain costs. Operating loss in fiscal 2024 was $165.5 million compared to operating loss of $24.2 million in fiscal 2023. Refer to “Results of Operations” below for further discussion.</w:t>
      </w:r>
    </w:p>
    <w:p>
      <w:pPr>
        <w:spacing w:after="0" w:line="186" w:lineRule="exact"/>
        <w:rPr>
          <w:sz w:val="20"/>
          <w:szCs w:val="20"/>
          <w:color w:val="auto"/>
        </w:rPr>
      </w:pPr>
    </w:p>
    <w:p>
      <w:pPr>
        <w:ind w:right="160" w:firstLine="320"/>
        <w:spacing w:after="0" w:line="262" w:lineRule="auto"/>
        <w:rPr>
          <w:sz w:val="20"/>
          <w:szCs w:val="20"/>
          <w:color w:val="auto"/>
        </w:rPr>
      </w:pPr>
      <w:r>
        <w:rPr>
          <w:rFonts w:ascii="Times New Roman" w:cs="Times New Roman" w:eastAsia="Times New Roman" w:hAnsi="Times New Roman"/>
          <w:sz w:val="18"/>
          <w:szCs w:val="18"/>
          <w:color w:val="auto"/>
        </w:rPr>
        <w:t>We ended fiscal 2024 with $382.2 million in cash, cash equivalents and short-term investments. Net cash used in operating activities was $13.9 million during fiscal 2024. Accounts receivable were $54.5 million at December 28, 2024, representing 29 days sales outstanding (“DSO”). Inventory was $105.6 million at December 28, 2024, representing 125 days of inventory (“DOI”).</w:t>
      </w:r>
    </w:p>
    <w:p>
      <w:pPr>
        <w:spacing w:after="0" w:line="176"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During fiscal 2024, 2023, and 2022,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the end customer as our customer. Two of our distributors who sell to our customers, Arrow Electronics and Edom Technology, represented 27% and 16% of our revenues during fiscal 2024, 34% and 15% during fiscal 2023, and 33% and 17% during fiscal 2022, respectively.</w:t>
      </w:r>
    </w:p>
    <w:p>
      <w:pPr>
        <w:spacing w:after="0" w:line="185" w:lineRule="exact"/>
        <w:rPr>
          <w:sz w:val="20"/>
          <w:szCs w:val="20"/>
          <w:color w:val="auto"/>
        </w:rPr>
      </w:pPr>
    </w:p>
    <w:p>
      <w:pPr>
        <w:jc w:val="both"/>
        <w:ind w:right="60" w:firstLine="320"/>
        <w:spacing w:after="0" w:line="262"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90% in fiscal 2024, 88% in fiscal 2023 and 83% in fiscal 2022. All of our revenues to date have been denominated in U.S. dollars. We believe that a majority of our revenues will continue to be derived from customers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Consolidated Statements of Operations:</w:t>
      </w:r>
    </w:p>
    <w:p>
      <w:pPr>
        <w:spacing w:after="0" w:line="21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Our revenues are subject to variation from period to period due to the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shipments made within a period, the mix of products we sell and the prices we charge for our products.</w:t>
      </w:r>
    </w:p>
    <w:p>
      <w:pPr>
        <w:spacing w:after="0" w:line="1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software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amortization of intangible assets, professional fees, legal fees, and promotional and marketing expenses.</w:t>
      </w:r>
    </w:p>
    <w:p>
      <w:pPr>
        <w:spacing w:after="0" w:line="17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15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Interest expense consists of interest on our short and long-term obligations, including our convertible senior notes that were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and our credit facility. Interest expense on our convertible senior notes included contractual interest and amortization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global intangible low-taxed income, Subpart F income inclusions, and other permanent differences.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Equity-method Earnings (Loss). </w:t>
      </w:r>
      <w:r>
        <w:rPr>
          <w:rFonts w:ascii="Times New Roman" w:cs="Times New Roman" w:eastAsia="Times New Roman" w:hAnsi="Times New Roman"/>
          <w:sz w:val="18"/>
          <w:szCs w:val="18"/>
          <w:color w:val="auto"/>
        </w:rPr>
        <w:t>Equity-method earnings (loss) represents income or loss on our equity-method investment.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as a percentage of revenues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7"/>
        </w:trPr>
        <w:tc>
          <w:tcPr>
            <w:tcW w:w="4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shd w:val="clear" w:color="auto" w:fill="CCEEFF"/>
          </w:tcPr>
          <w:p>
            <w:pPr>
              <w:spacing w:after="0"/>
              <w:rPr>
                <w:sz w:val="22"/>
                <w:szCs w:val="22"/>
                <w:color w:val="auto"/>
              </w:rPr>
            </w:pPr>
          </w:p>
        </w:tc>
        <w:tc>
          <w:tcPr>
            <w:tcW w:w="4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Borders>
              <w:bottom w:val="single" w:sz="8" w:color="CCEEFF"/>
            </w:tcBorders>
          </w:tcPr>
          <w:p>
            <w:pPr>
              <w:spacing w:after="0"/>
              <w:rPr>
                <w:sz w:val="21"/>
                <w:szCs w:val="21"/>
                <w:color w:val="auto"/>
              </w:rPr>
            </w:pPr>
          </w:p>
        </w:tc>
        <w:tc>
          <w:tcPr>
            <w:tcW w:w="49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CCEEFF"/>
          </w:tcPr>
          <w:p>
            <w:pPr>
              <w:spacing w:after="0"/>
              <w:rPr>
                <w:sz w:val="22"/>
                <w:szCs w:val="22"/>
                <w:color w:val="auto"/>
              </w:rPr>
            </w:pPr>
          </w:p>
        </w:tc>
        <w:tc>
          <w:tcPr>
            <w:tcW w:w="4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Equity-method earnings (loss)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560" w:type="dxa"/>
            <w:vAlign w:val="bottom"/>
            <w:tcBorders>
              <w:top w:val="single" w:sz="8" w:color="auto"/>
              <w:bottom w:val="single" w:sz="8" w:color="auto"/>
            </w:tcBorders>
            <w:shd w:val="clear" w:color="auto" w:fill="CCEEFF"/>
          </w:tcPr>
          <w:p>
            <w:pPr>
              <w:spacing w:after="0"/>
              <w:rPr>
                <w:sz w:val="23"/>
                <w:szCs w:val="2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7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Fiscal 2024 to Fiscal 2023</w:t>
            </w: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9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
                <w:szCs w:val="2"/>
                <w:color w:val="auto"/>
              </w:rPr>
            </w:pPr>
          </w:p>
        </w:tc>
        <w:tc>
          <w:tcPr>
            <w:tcW w:w="16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(158.1)</w:t>
            </w:r>
          </w:p>
        </w:tc>
        <w:tc>
          <w:tcPr>
            <w:tcW w:w="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140" w:firstLine="320"/>
        <w:spacing w:after="0" w:line="253" w:lineRule="auto"/>
        <w:rPr>
          <w:sz w:val="20"/>
          <w:szCs w:val="20"/>
          <w:color w:val="auto"/>
        </w:rPr>
      </w:pPr>
      <w:r>
        <w:rPr>
          <w:rFonts w:ascii="Times New Roman" w:cs="Times New Roman" w:eastAsia="Times New Roman" w:hAnsi="Times New Roman"/>
          <w:sz w:val="18"/>
          <w:szCs w:val="18"/>
          <w:color w:val="auto"/>
        </w:rPr>
        <w:t>The decrease in revenues in fiscal 2024 was due to decreased revenues of $158.1 million from our Industrial &amp; Commercial products and $39.8 million from our Home &amp; Life products. Unit volumes and average selling prices of our products decreased compared to fiscal 2023. The weakness in the overall demand environment for our customers’ products we experienced in the second half of fiscal 2023 continued into fiscal 2024 as customers sought to reduce inventory levels that had become elevated as a result of the supply chain disruptions during fiscal 2021 and 2022. The average selling prices of our products may fluctuate significantly from period to period due to changes in product mix, customer mix, pricing decisions, and other factors. In general, as our products become more mature, we expect to experience decreases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2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4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Gross profit decreased in fiscal 2024 due primarily as a result of a decrease in revenues in the period. Gross margin decreased primarily due to variations in customer and product mix, with the percentage of revenues attributed to direct customers increasing as compared to revenue from distributors in fiscal 2024.</w:t>
      </w:r>
    </w:p>
    <w:p>
      <w:pPr>
        <w:spacing w:after="0" w:line="176" w:lineRule="exact"/>
        <w:rPr>
          <w:sz w:val="20"/>
          <w:szCs w:val="20"/>
          <w:color w:val="auto"/>
        </w:rPr>
      </w:pPr>
    </w:p>
    <w:p>
      <w:pPr>
        <w:ind w:right="140" w:firstLine="320"/>
        <w:spacing w:after="0" w:line="273" w:lineRule="auto"/>
        <w:rPr>
          <w:sz w:val="20"/>
          <w:szCs w:val="20"/>
          <w:color w:val="auto"/>
        </w:rPr>
      </w:pPr>
      <w:r>
        <w:rPr>
          <w:rFonts w:ascii="Times New Roman" w:cs="Times New Roman" w:eastAsia="Times New Roman" w:hAnsi="Times New Roman"/>
          <w:sz w:val="17"/>
          <w:szCs w:val="17"/>
          <w:color w:val="auto"/>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The decrease in research and development expense in fiscal 2024 was primarily due to a decrease of $7.2 million for personnel-related expenses as a result of our workforce reductions implemented in the fourth quarter of fiscal 2023. Other decreases to research and development expense in fiscal 2024 were $2.3 million for the amortization of intangible assets, $2.0 million for technical services, and $1.4 million for IT-related costs, partially offset by an increase of $7.8 million in software expense. The increase in research and development expense as a percent of revenues in fiscal 2024 was due to our decreased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4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1"/>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in fiscal 2024 was primarily due to a $2.0 million decrease in outside services, a $1.4 million decrease in IT-related costs, and a $0.8 million decrease in occupancy costs, partially offset by a $2.9 million increase in personnel-related costs. The increase in selling, general and administrative expense as a percent of revenues in fiscal 2024 was due to our decreased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4"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Interest income and other, net in fiscal 2024 was $12.0 million compared to $19.2 million in fiscal 2023. The decrease in interest income and other, net in fiscal 2024 was primarily due to lower interest-bearing investment balances as a result of the sale of investments to fund the settlement of our 2025 convertible senior notes in the second quarter of fiscal 2023, stock repurchases in the first three quarters of fiscal 2023, and repayment of borrowing from our credit facility in the third quarter of fiscal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4"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Interest expense in fiscal 2024 was $1.3 million compared to $5.6 million in fiscal 2023. The decrease was primarily due to the settlement of our 2025 convertible senior notes in the second quarter of fiscal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3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1"/>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increase in the provision for income taxes for fiscal 2024 as compared to fiscal 2023 was primarily due to the establishment of a valuation allowance against the majority of our U.S. and Singapore deferred tax assets during the second quarter of fiscal 2024. There is a need for a valuation allowance in the U.S. and Singapore due to a forecasted three-year cumulative pre-tax loss for the current and two preceding years in conjunction with the recent downturn in the semiconductor industry. We intend to maintain the valuation allowance until sufficient future sources of taxable income are forecasted to realize the benefit of the deferred tax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Equity-method Loss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Equity-method loss in fiscal 2023 was $16.0 million. Our equity-method investment was sold in the fourth quarter of fiscal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Our principal sources of liquidity as of December 28, 2024 consisted of $382.2 million in cash, cash equivalents and short-term investments, of which $194.1 million was held by our U.S. entities. The remaining balance was held by our foreign subsidiaries. Our cash equivalents and short-term investments consisted of government debt securities, which include U.S. government securities; corporate debt securities, which include asset-backed securities, corporate bonds, and Yankee bonds; and money market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right="420" w:firstLine="320"/>
        <w:spacing w:after="0" w:line="284" w:lineRule="auto"/>
        <w:rPr>
          <w:sz w:val="20"/>
          <w:szCs w:val="20"/>
          <w:color w:val="auto"/>
        </w:rPr>
      </w:pPr>
      <w:r>
        <w:rPr>
          <w:rFonts w:ascii="Times New Roman" w:cs="Times New Roman" w:eastAsia="Times New Roman" w:hAnsi="Times New Roman"/>
          <w:sz w:val="17"/>
          <w:szCs w:val="17"/>
          <w:color w:val="auto"/>
        </w:rPr>
        <w:t>Net cash used in operating activities was $13.9 million during fiscal 2024, compared to net cash used in operating activities of $30.3 million during fiscal 2023. Operating cash flows during fiscal 2024 reflect our net loss of $191.0 million, adjustments of $139.6 million for depreciation, amortization, stock-based compensation, and deferred income taxes, and a net cash inflow of $37.5 million due to changes in our operating assets and liabilities.</w:t>
      </w:r>
    </w:p>
    <w:p>
      <w:pPr>
        <w:spacing w:after="0" w:line="160" w:lineRule="exact"/>
        <w:rPr>
          <w:sz w:val="20"/>
          <w:szCs w:val="20"/>
          <w:color w:val="auto"/>
        </w:rPr>
      </w:pPr>
    </w:p>
    <w:p>
      <w:pPr>
        <w:jc w:val="both"/>
        <w:ind w:right="260" w:firstLine="320"/>
        <w:spacing w:after="0" w:line="262" w:lineRule="auto"/>
        <w:rPr>
          <w:sz w:val="20"/>
          <w:szCs w:val="20"/>
          <w:color w:val="auto"/>
        </w:rPr>
      </w:pPr>
      <w:r>
        <w:rPr>
          <w:rFonts w:ascii="Times New Roman" w:cs="Times New Roman" w:eastAsia="Times New Roman" w:hAnsi="Times New Roman"/>
          <w:sz w:val="18"/>
          <w:szCs w:val="18"/>
          <w:color w:val="auto"/>
        </w:rPr>
        <w:t>Accounts receivable increased to $54.5 million at December 28, 2024 from $29.3 million at December 30, 2023. The increase in accounts receivable resulted primarily from an increase in shipments during the last quarter of fiscal 2024 compared to the last quarter of fiscal 2023. Our DSO was 29 days at December 28, 2024 and 30 days at December 30, 2023.</w:t>
      </w:r>
    </w:p>
    <w:p>
      <w:pPr>
        <w:spacing w:after="0" w:line="176" w:lineRule="exact"/>
        <w:rPr>
          <w:sz w:val="20"/>
          <w:szCs w:val="20"/>
          <w:color w:val="auto"/>
        </w:rPr>
      </w:pPr>
    </w:p>
    <w:p>
      <w:pPr>
        <w:ind w:right="300" w:firstLine="320"/>
        <w:spacing w:after="0" w:line="284" w:lineRule="auto"/>
        <w:rPr>
          <w:sz w:val="20"/>
          <w:szCs w:val="20"/>
          <w:color w:val="auto"/>
        </w:rPr>
      </w:pPr>
      <w:r>
        <w:rPr>
          <w:rFonts w:ascii="Times New Roman" w:cs="Times New Roman" w:eastAsia="Times New Roman" w:hAnsi="Times New Roman"/>
          <w:sz w:val="17"/>
          <w:szCs w:val="17"/>
          <w:color w:val="auto"/>
        </w:rPr>
        <w:t>Inventory decreased to $105.6 million at December 28, 2024 from $194.3 million at December 30, 2023, due to an intentional reduction of inventory holding levels in response to reduced demand. Our inventory levels will vary based on the availability of supply and the impact of variations between forecasted demand used for purchasing inventory and actual demand. Our DOI was 125 days at December 28, 2024 and 407 days at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ind w:right="240" w:firstLine="320"/>
        <w:spacing w:after="0" w:line="307" w:lineRule="auto"/>
        <w:rPr>
          <w:sz w:val="20"/>
          <w:szCs w:val="20"/>
          <w:color w:val="auto"/>
        </w:rPr>
      </w:pPr>
      <w:r>
        <w:rPr>
          <w:rFonts w:ascii="Times New Roman" w:cs="Times New Roman" w:eastAsia="Times New Roman" w:hAnsi="Times New Roman"/>
          <w:sz w:val="17"/>
          <w:szCs w:val="17"/>
          <w:color w:val="auto"/>
        </w:rPr>
        <w:t>Net cash provided by investing activities was $113.1 million during fiscal 2024, compared to $469.8 million during fiscal 2023. The decrease in cash inflows was principally due to a decrease in cash provided by net purchases, sales, and maturities of marketable securities of $380.1 million in fiscal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Net cash used in financing activities was $45.1 million during fiscal 2024, compared to $711.9 million during fiscal 2023. The decrease in cash outflows was principally due to $571.2 million in debt repayments and $217.1 million for repurchases of common stock, partially offset by $80.0 million in proceeds from our revolving line of credit, in fiscal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2" w:lineRule="exact"/>
        <w:rPr>
          <w:sz w:val="20"/>
          <w:szCs w:val="20"/>
          <w:color w:val="auto"/>
        </w:rPr>
      </w:pPr>
    </w:p>
    <w:p>
      <w:pPr>
        <w:ind w:right="220" w:firstLine="320"/>
        <w:spacing w:after="0" w:line="253" w:lineRule="auto"/>
        <w:rPr>
          <w:sz w:val="20"/>
          <w:szCs w:val="20"/>
          <w:color w:val="auto"/>
        </w:rPr>
      </w:pPr>
      <w:r>
        <w:rPr>
          <w:rFonts w:ascii="Times New Roman" w:cs="Times New Roman" w:eastAsia="Times New Roman" w:hAnsi="Times New Roman"/>
          <w:sz w:val="18"/>
          <w:szCs w:val="18"/>
          <w:color w:val="auto"/>
        </w:rPr>
        <w:t>As of December 28, 2024,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As of December 28, 2024, no amounts were outstanding on the revolving credit facility. We were granted a waiver of compliance for the minimum interest coverage ratio through March 29, 2025. In the event we are not able to achieve compliance by the end of the waiver period, we may need to amend the covenant or obtain an additional waiver in order to access the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2" w:lineRule="exact"/>
        <w:rPr>
          <w:sz w:val="20"/>
          <w:szCs w:val="20"/>
          <w:color w:val="auto"/>
        </w:rPr>
      </w:pPr>
    </w:p>
    <w:p>
      <w:pPr>
        <w:ind w:firstLine="320"/>
        <w:spacing w:after="0" w:line="273"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2" w:lineRule="exact"/>
        <w:rPr>
          <w:sz w:val="20"/>
          <w:szCs w:val="20"/>
          <w:color w:val="auto"/>
        </w:rPr>
      </w:pPr>
    </w:p>
    <w:p>
      <w:pPr>
        <w:ind w:right="100" w:firstLine="320"/>
        <w:spacing w:after="0" w:line="262" w:lineRule="auto"/>
        <w:rPr>
          <w:sz w:val="20"/>
          <w:szCs w:val="20"/>
          <w:color w:val="auto"/>
        </w:rPr>
      </w:pPr>
      <w:r>
        <w:rPr>
          <w:rFonts w:ascii="Times New Roman" w:cs="Times New Roman" w:eastAsia="Times New Roman" w:hAnsi="Times New Roman"/>
          <w:sz w:val="18"/>
          <w:szCs w:val="18"/>
          <w:color w:val="auto"/>
        </w:rPr>
        <w:t xml:space="preserve">Our purchase obligations primarily include contractual arrangements in the form of purchase orders and purchase commitments with suppliers. As of December 28, 2024, such purchase obligations were $39.5 million. For a description of other contractual obligations,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2023 to Fiscal 2022</w:t>
      </w:r>
    </w:p>
    <w:p>
      <w:pPr>
        <w:spacing w:after="0" w:line="224" w:lineRule="exact"/>
        <w:rPr>
          <w:sz w:val="20"/>
          <w:szCs w:val="20"/>
          <w:color w:val="auto"/>
        </w:rPr>
      </w:pPr>
    </w:p>
    <w:p>
      <w:pPr>
        <w:jc w:val="both"/>
        <w:ind w:right="160" w:firstLine="320"/>
        <w:spacing w:after="0" w:line="262" w:lineRule="auto"/>
        <w:rPr>
          <w:sz w:val="20"/>
          <w:szCs w:val="20"/>
          <w:color w:val="auto"/>
        </w:rPr>
      </w:pPr>
      <w:r>
        <w:rPr>
          <w:rFonts w:ascii="Times New Roman" w:cs="Times New Roman" w:eastAsia="Times New Roman" w:hAnsi="Times New Roman"/>
          <w:sz w:val="18"/>
          <w:szCs w:val="18"/>
          <w:color w:val="auto"/>
        </w:rPr>
        <w:t>A discussion of changes in our results of operations and liquidity and capital resources from fiscal 2022 to fiscal 2023 has been omitted from this Form 10-K, but may be found in “Item 7. Management’s Discussion and Analysis of Financial Condition and Results of Operations” of our Form 10-K filed with the Securities and Exchange Commission on February 20,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4" w:lineRule="exact"/>
        <w:rPr>
          <w:sz w:val="20"/>
          <w:szCs w:val="20"/>
          <w:color w:val="auto"/>
        </w:rPr>
      </w:pPr>
    </w:p>
    <w:p>
      <w:pPr>
        <w:ind w:right="40" w:firstLine="320"/>
        <w:spacing w:after="0" w:line="284" w:lineRule="auto"/>
        <w:rPr>
          <w:sz w:val="20"/>
          <w:szCs w:val="20"/>
          <w:color w:val="auto"/>
        </w:rPr>
      </w:pPr>
      <w:r>
        <w:rPr>
          <w:rFonts w:ascii="Times New Roman" w:cs="Times New Roman" w:eastAsia="Times New Roman" w:hAnsi="Times New Roman"/>
          <w:sz w:val="17"/>
          <w:szCs w:val="17"/>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w:t>
      </w:r>
    </w:p>
    <w:p>
      <w:pPr>
        <w:spacing w:after="0" w:line="15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Inventory valuation </w:t>
      </w:r>
      <w:r>
        <w:rPr>
          <w:rFonts w:ascii="Times New Roman" w:cs="Times New Roman" w:eastAsia="Times New Roman" w:hAnsi="Times New Roman"/>
          <w:sz w:val="18"/>
          <w:szCs w:val="18"/>
          <w:color w:val="auto"/>
        </w:rPr>
        <w:t>– We assess the recoverability of inventories through the application of a set of methods, assumptions and estimates. In determining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we write down inventory that may be slow moving or have some form of obsolescence, including inventory that has aged more than 24 months. We also adjust the valuation of inventory when its manufacturing cost exceeds the estimated selling price less costs of completion, disposal and transportation. We assess the potential for any unusual customer returns based on known quality or business issues and write-off inventory losses for scrap or non-saleable material. Inventory not otherwise identified to be written down is compared to an assessment of our 18-month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We recognize revenue when control of the promised goods or services is transferred to customers, in an amount that reflects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we expect to be entitled to in exchange for those goods or services. In order to achieve this core principle, we apply a five-step process. As part of this process, we analyze the performance obligations in a customer contract and estimate the variable consideration we expect to receive. The evaluation of performance obligations requires that we identify the promised goods and services in the contract. For contracts that contain more than one promised good and service, we then must determine whether the promises are capable of being distinct and if they are separately identifiable from other promises in the contract. Variable consideration primarily includes sales made to distributors under agreements allowing certain rights of return, referred to as stock rotation, and credits issued to the distributor due to price protection. We estimate variable consideration at the most likely amount to which we expect to be entitled. We make these estimates based on available information, including recent sales activity and pricing data. We apply a constraint to our variable consideration estimate which considers both the likelihood of a return and the amount of a potential price concession. If our evaluation of performance obligations is incorrect, we may recognize revenue sooner or later than is appropriate. If our estimates of variable consideration are inaccurate, we may recognize too much or too little revenue in a period. We may adjust assumptions used to estimate consideration periodically based on analysis of prior estimates.</w:t>
      </w:r>
    </w:p>
    <w:p>
      <w:pPr>
        <w:spacing w:after="0" w:line="1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are required to calculate income taxes in each of the jurisdictions in which we operate. This process involves calculating the actual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liability together with assessing temporary differences in recognition of income (loss) for tax and accounting purposes. These differences result in deferred tax assets and liabilities, which are included in our Consolidated Balance Sheets. Evaluating the need for a valuation allowance for deferred tax assets requires analysis of all positive and negative evidence available, including recent earnings history and taxable income in recent years, reversals of deferred tax liabilities, projected future taxable income, and tax planning strategies to determine whether all or some portion of the deferred tax assets will not be realized. We record a valuation allowance when it is more likely than not that some portion or all of the deferred tax assets will not be realized. Judgment is inherent in this process, and differences between the estimated and actual taxable income could result in a material impact on our Consolidated Financial Statements.</w:t>
      </w:r>
    </w:p>
    <w:p>
      <w:pPr>
        <w:spacing w:after="0" w:line="185"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19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effect on our income tax provision and net income in the period or periods for which that determination is made.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2" w:lineRule="exact"/>
        <w:rPr>
          <w:sz w:val="20"/>
          <w:szCs w:val="20"/>
          <w:color w:val="auto"/>
        </w:rPr>
      </w:pPr>
    </w:p>
    <w:p>
      <w:pPr>
        <w:ind w:right="760" w:firstLine="320"/>
        <w:spacing w:after="0" w:line="279" w:lineRule="auto"/>
        <w:rPr>
          <w:sz w:val="20"/>
          <w:szCs w:val="20"/>
          <w:color w:val="auto"/>
        </w:rPr>
      </w:pPr>
      <w:r>
        <w:rPr>
          <w:rFonts w:ascii="Times New Roman" w:cs="Times New Roman" w:eastAsia="Times New Roman" w:hAnsi="Times New Roman"/>
          <w:sz w:val="18"/>
          <w:szCs w:val="18"/>
          <w:color w:val="auto"/>
        </w:rPr>
        <w:t xml:space="preserve">Information regarding recent accounting pronouncements is provided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to the Consolidated Financial Statements. Such information is incorporated by reference herein.</w:t>
      </w:r>
    </w:p>
    <w:p>
      <w:pPr>
        <w:spacing w:after="0" w:line="1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2" w:lineRule="exact"/>
        <w:rPr>
          <w:sz w:val="20"/>
          <w:szCs w:val="20"/>
          <w:color w:val="auto"/>
        </w:rPr>
      </w:pPr>
    </w:p>
    <w:p>
      <w:pPr>
        <w:jc w:val="both"/>
        <w:ind w:right="240" w:firstLine="320"/>
        <w:spacing w:after="0" w:line="262" w:lineRule="auto"/>
        <w:rPr>
          <w:sz w:val="20"/>
          <w:szCs w:val="20"/>
          <w:color w:val="auto"/>
        </w:rPr>
      </w:pPr>
      <w:r>
        <w:rPr>
          <w:rFonts w:ascii="Times New Roman" w:cs="Times New Roman" w:eastAsia="Times New Roman" w:hAnsi="Times New Roman"/>
          <w:sz w:val="18"/>
          <w:szCs w:val="18"/>
          <w:color w:val="auto"/>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December 28, 2024 would decrease our future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annual interest income by approximately $3.0 million. A 100 basis point decline in yield on our investment portfolio holdings as of December 30, 2023 would decrease our future annual interest income by approximately $3.6 million. We believe that our investment policy, which defines the duration, concentration, and minimum credit quality of the allowable investments, meets our investment objectives.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p>
      <w:pPr>
        <w:ind w:right="60" w:firstLine="320"/>
        <w:spacing w:after="0" w:line="262"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have no borrowings as of December 28, 2024. If we borrow from the credit facility in the future, we will again be exposed to interest rate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2" w:lineRule="exact"/>
        <w:rPr>
          <w:sz w:val="20"/>
          <w:szCs w:val="20"/>
          <w:color w:val="auto"/>
        </w:rPr>
      </w:pPr>
    </w:p>
    <w:p>
      <w:pPr>
        <w:ind w:right="180" w:firstLine="32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Consolidated Statements of Operations. We use foreign currency forward contracts to manage exposure to foreign exchange risk. Gains and losses on foreign currency forward contracts are recognized in earnings in the same period during which the hedged transaction is recognized.</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4"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Part IV, Item 15 of this Form 10-K and are presented beginning on page F-1.</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December 28, 2024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ind w:right="540" w:firstLine="320"/>
        <w:spacing w:after="0" w:line="277" w:lineRule="auto"/>
        <w:rPr>
          <w:sz w:val="20"/>
          <w:szCs w:val="20"/>
          <w:color w:val="auto"/>
        </w:rPr>
      </w:pPr>
      <w:r>
        <w:rPr>
          <w:rFonts w:ascii="Times New Roman" w:cs="Times New Roman" w:eastAsia="Times New Roman" w:hAnsi="Times New Roman"/>
          <w:sz w:val="18"/>
          <w:szCs w:val="18"/>
          <w:color w:val="auto"/>
        </w:rPr>
        <w:t>There was no change in our internal controls during the fiscal quarter ended December 28, 2024 that materially affected, or is reasonably likely to materially affect, our internal controls over financial reporting, other than the remediation efforts of the material weakness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224"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As previously disclosed in Item 9A. Controls and Procedures in our Annual Report on Form 10-K for the year ended December 30, 2023 filed with the SEC, our management, including our CEO and CFO, identified deficiencies in our internal control over financial reporting that we believe rose to the level of a material weakness. A material weakness is a deficiency, or a combination of deficiencies in internal control over financial reporting, such that there is a reasonable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possibility that a material misstatement of our annual or interim consolidated financial statements will not be prevented or detected on a timely basis. This material weakness did not result in any material errors.</w:t>
      </w:r>
    </w:p>
    <w:p>
      <w:pPr>
        <w:spacing w:after="0" w:line="163" w:lineRule="exact"/>
        <w:rPr>
          <w:sz w:val="20"/>
          <w:szCs w:val="20"/>
          <w:color w:val="auto"/>
        </w:rPr>
      </w:pPr>
    </w:p>
    <w:p>
      <w:pPr>
        <w:ind w:right="280" w:firstLine="320"/>
        <w:spacing w:after="0" w:line="277" w:lineRule="auto"/>
        <w:rPr>
          <w:sz w:val="20"/>
          <w:szCs w:val="20"/>
          <w:color w:val="auto"/>
        </w:rPr>
      </w:pPr>
      <w:r>
        <w:rPr>
          <w:rFonts w:ascii="Times New Roman" w:cs="Times New Roman" w:eastAsia="Times New Roman" w:hAnsi="Times New Roman"/>
          <w:sz w:val="18"/>
          <w:szCs w:val="18"/>
          <w:color w:val="auto"/>
        </w:rPr>
        <w:t>To address the material weakness related to undue reliance on forecasted inventory demand information used in determining inventory carrying value adjustments, we completed the following:</w:t>
      </w:r>
    </w:p>
    <w:p>
      <w:pPr>
        <w:spacing w:after="0" w:line="163" w:lineRule="exact"/>
        <w:rPr>
          <w:sz w:val="20"/>
          <w:szCs w:val="20"/>
          <w:color w:val="auto"/>
        </w:rPr>
      </w:pPr>
    </w:p>
    <w:p>
      <w:pPr>
        <w:ind w:left="640" w:right="200" w:hanging="313"/>
        <w:spacing w:after="0" w:line="25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and reassessed the design of our inventory valuation methods, including key assumptions used in the determination of the net realizable value of our inventory;</w:t>
      </w:r>
    </w:p>
    <w:p>
      <w:pPr>
        <w:ind w:left="640" w:right="560" w:hanging="313"/>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enhanced controls and documentation requirements during the quarter ended December 28, 2024 that support the completeness and accuracy of data used in the inventory valuation assessment;</w:t>
      </w: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management’s review and assessment of information used in the inventory valuation assessment; and</w:t>
      </w:r>
    </w:p>
    <w:p>
      <w:pPr>
        <w:spacing w:after="0" w:line="6" w:lineRule="exact"/>
        <w:rPr>
          <w:rFonts w:ascii="Times New Roman" w:cs="Times New Roman" w:eastAsia="Times New Roman" w:hAnsi="Times New Roman"/>
          <w:sz w:val="18"/>
          <w:szCs w:val="18"/>
          <w:color w:val="auto"/>
        </w:rPr>
      </w:pPr>
    </w:p>
    <w:p>
      <w:pPr>
        <w:ind w:left="640" w:right="140" w:hanging="313"/>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Refined the critical assumptions to be used in the inventory valuation assessment, including demand forecast information, historical results, market conditions, and aging of inventory.</w:t>
      </w:r>
    </w:p>
    <w:p>
      <w:pPr>
        <w:spacing w:after="0" w:line="208" w:lineRule="exact"/>
        <w:rPr>
          <w:sz w:val="20"/>
          <w:szCs w:val="20"/>
          <w:color w:val="auto"/>
        </w:rPr>
      </w:pPr>
    </w:p>
    <w:p>
      <w:pPr>
        <w:ind w:right="680" w:firstLine="320"/>
        <w:spacing w:after="0" w:line="277" w:lineRule="auto"/>
        <w:rPr>
          <w:sz w:val="20"/>
          <w:szCs w:val="20"/>
          <w:color w:val="auto"/>
        </w:rPr>
      </w:pPr>
      <w:r>
        <w:rPr>
          <w:rFonts w:ascii="Times New Roman" w:cs="Times New Roman" w:eastAsia="Times New Roman" w:hAnsi="Times New Roman"/>
          <w:sz w:val="18"/>
          <w:szCs w:val="18"/>
          <w:color w:val="auto"/>
        </w:rPr>
        <w:t>During the quarter ended December 28, 2024, we successfully completed the testing necessary to conclude that this material weakness has been remediated.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4" w:lineRule="exact"/>
        <w:rPr>
          <w:sz w:val="20"/>
          <w:szCs w:val="20"/>
          <w:color w:val="auto"/>
        </w:rPr>
      </w:pPr>
    </w:p>
    <w:p>
      <w:pPr>
        <w:ind w:right="260" w:firstLine="320"/>
        <w:spacing w:after="0" w:line="26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176"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28, 2024. In making this assessment, it used the criteria set forth by the Committee of Sponsoring Organizations of the Treadway Commission (COSO) in Internal Control—Integrated Framework (2013 framework). Based on our assessment we concluded that, as of December 28, 2024, our internal control over financial reporting is effective based on those criteria.</w:t>
      </w:r>
    </w:p>
    <w:p>
      <w:pPr>
        <w:spacing w:after="0" w:line="181"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issued an attestation report on our internal control over financial reporting. This report appears on page F-3.</w:t>
      </w:r>
    </w:p>
    <w:p>
      <w:pPr>
        <w:spacing w:after="0" w:line="15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2" w:lineRule="exact"/>
        <w:rPr>
          <w:sz w:val="20"/>
          <w:szCs w:val="20"/>
          <w:color w:val="auto"/>
        </w:rPr>
      </w:pPr>
    </w:p>
    <w:p>
      <w:pPr>
        <w:ind w:right="80" w:firstLine="320"/>
        <w:spacing w:after="0" w:line="257"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purchase or sale of our securities intended to satisfy the affirmative defense conditions of Rule 10b5-1(c) entered into or terminated during the quarter ended December 28, 2024 by our directors and officers (as defined under Rule 16b-1(f) of the Exchange Act). There were no non-Rule 10b5-1 trading arrangements entered into or terminated by our directors and officers during the quarter ended December 28,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r>
      <w:tr>
        <w:trPr>
          <w:trHeight w:val="160"/>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Purchased or</w:t>
            </w:r>
          </w:p>
        </w:tc>
      </w:tr>
      <w:tr>
        <w:trPr>
          <w:trHeight w:val="160"/>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Adoption of</w:t>
            </w: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Sold Pursuant to the</w:t>
            </w:r>
          </w:p>
        </w:tc>
      </w:tr>
      <w:tr>
        <w:trPr>
          <w:trHeight w:val="20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 of Director or Officer</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Duration of the Arrangement</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25"/>
        </w:trPr>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0"/>
        </w:trPr>
        <w:tc>
          <w:tcPr>
            <w:tcW w:w="490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R. Matthew Johnson</w:t>
            </w:r>
          </w:p>
        </w:tc>
        <w:tc>
          <w:tcPr>
            <w:tcW w:w="2140" w:type="dxa"/>
            <w:vAlign w:val="bottom"/>
            <w:gridSpan w:val="2"/>
            <w:shd w:val="clear" w:color="auto" w:fill="CCEEFF"/>
          </w:tcPr>
          <w:p>
            <w:pPr>
              <w:jc w:val="center"/>
              <w:ind w:right="120"/>
              <w:spacing w:after="0" w:line="200" w:lineRule="exact"/>
              <w:rPr>
                <w:sz w:val="20"/>
                <w:szCs w:val="20"/>
                <w:color w:val="auto"/>
              </w:rPr>
            </w:pPr>
            <w:r>
              <w:rPr>
                <w:rFonts w:ascii="Times New Roman" w:cs="Times New Roman" w:eastAsia="Times New Roman" w:hAnsi="Times New Roman"/>
                <w:sz w:val="18"/>
                <w:szCs w:val="18"/>
                <w:color w:val="auto"/>
                <w:w w:val="98"/>
              </w:rPr>
              <w:t>November 27, 2024</w:t>
            </w:r>
          </w:p>
        </w:tc>
        <w:tc>
          <w:tcPr>
            <w:tcW w:w="2280" w:type="dxa"/>
            <w:vAlign w:val="bottom"/>
            <w:gridSpan w:val="2"/>
            <w:shd w:val="clear" w:color="auto" w:fill="CCEEFF"/>
          </w:tcPr>
          <w:p>
            <w:pPr>
              <w:jc w:val="center"/>
              <w:ind w:right="100"/>
              <w:spacing w:after="0" w:line="200" w:lineRule="exact"/>
              <w:rPr>
                <w:sz w:val="20"/>
                <w:szCs w:val="20"/>
                <w:color w:val="auto"/>
              </w:rPr>
            </w:pPr>
            <w:r>
              <w:rPr>
                <w:rFonts w:ascii="Times New Roman" w:cs="Times New Roman" w:eastAsia="Times New Roman" w:hAnsi="Times New Roman"/>
                <w:sz w:val="18"/>
                <w:szCs w:val="18"/>
                <w:color w:val="auto"/>
                <w:w w:val="98"/>
              </w:rPr>
              <w:t>Expires June 02, 2025</w:t>
            </w:r>
          </w:p>
        </w:tc>
        <w:tc>
          <w:tcPr>
            <w:tcW w:w="192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58,820</w:t>
            </w:r>
            <w:r>
              <w:rPr>
                <w:rFonts w:ascii="Times New Roman" w:cs="Times New Roman" w:eastAsia="Times New Roman" w:hAnsi="Times New Roman"/>
                <w:sz w:val="23"/>
                <w:szCs w:val="23"/>
                <w:color w:val="auto"/>
                <w:w w:val="97"/>
                <w:vertAlign w:val="superscript"/>
              </w:rPr>
              <w:t>1</w:t>
            </w:r>
          </w:p>
        </w:tc>
      </w:tr>
      <w:tr>
        <w:trPr>
          <w:trHeight w:val="24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CEO</w:t>
            </w:r>
          </w:p>
        </w:tc>
        <w:tc>
          <w:tcPr>
            <w:tcW w:w="2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bl>
    <w:p>
      <w:pPr>
        <w:spacing w:after="0" w:line="289" w:lineRule="exact"/>
        <w:rPr>
          <w:sz w:val="20"/>
          <w:szCs w:val="20"/>
          <w:color w:val="auto"/>
        </w:rPr>
      </w:pPr>
    </w:p>
    <w:p>
      <w:pPr>
        <w:jc w:val="both"/>
        <w:ind w:left="320" w:right="80" w:hanging="313"/>
        <w:spacing w:after="0" w:line="227" w:lineRule="auto"/>
        <w:tabs>
          <w:tab w:leader="none" w:pos="321"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total number of shares that may be sold under the trading arrangement, which includes shares underlying restricted stock units (“RSUs”) and performance share units (“PSUs”). The actual number of shares sold may be less based on tax withholdings and performance and vesting conditions of the award</w:t>
      </w:r>
      <w:r>
        <w:rPr>
          <w:rFonts w:ascii="Times New Roman" w:cs="Times New Roman" w:eastAsia="Times New Roman" w:hAnsi="Times New Roman"/>
          <w:sz w:val="19"/>
          <w:szCs w:val="19"/>
          <w:color w:val="auto"/>
        </w:rPr>
        <w:t>s.</w:t>
      </w:r>
    </w:p>
    <w:p>
      <w:pPr>
        <w:spacing w:after="0" w:line="1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42)</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at December 28, 2024 and December 30, 2023</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the fiscal years ended December 28, 2024, December 30, 2023 and December 31, 2022</w:t>
      </w:r>
    </w:p>
    <w:p>
      <w:pPr>
        <w:spacing w:after="0" w:line="260" w:lineRule="exact"/>
        <w:rPr>
          <w:sz w:val="20"/>
          <w:szCs w:val="20"/>
          <w:color w:val="auto"/>
        </w:rPr>
      </w:pPr>
    </w:p>
    <w:p>
      <w:pPr>
        <w:ind w:left="20" w:right="540"/>
        <w:spacing w:after="0" w:line="261"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the fiscal years ended December 28, 2024, December 30, 2023 and December 31, 2022</w:t>
      </w:r>
    </w:p>
    <w:p>
      <w:pPr>
        <w:spacing w:after="0" w:line="217" w:lineRule="exact"/>
        <w:rPr>
          <w:sz w:val="20"/>
          <w:szCs w:val="20"/>
          <w:color w:val="auto"/>
        </w:rPr>
      </w:pPr>
    </w:p>
    <w:p>
      <w:pPr>
        <w:ind w:left="20" w:right="380"/>
        <w:spacing w:after="0" w:line="261"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Stockholders’ Equity for the fiscal years ended December 28, 2024, December 30, 2023 and December 31, 2022</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EE"/>
        </w:rPr>
        <w:t>Consolidated Statements of Cash Flows for the fiscal years ended December 28, 2024, December 30, 2023 and December 31, 2022</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340" w:lineRule="exact"/>
        <w:rPr>
          <w:sz w:val="20"/>
          <w:szCs w:val="20"/>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35560</wp:posOffset>
            </wp:positionV>
            <wp:extent cx="652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145"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F-1</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F-3</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F-4</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F-5</w:t>
      </w: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F-6</w:t>
      </w: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F-7</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F-8</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F-9</w:t>
      </w:r>
    </w:p>
    <w:p>
      <w:pPr>
        <w:spacing w:after="0" w:line="747" w:lineRule="exact"/>
        <w:rPr>
          <w:sz w:val="20"/>
          <w:szCs w:val="20"/>
          <w:color w:val="auto"/>
        </w:rPr>
      </w:pPr>
    </w:p>
    <w:p>
      <w:pPr>
        <w:sectPr>
          <w:pgSz w:w="11900" w:h="16838" w:orient="portrait"/>
          <w:cols w:equalWidth="0" w:num="2">
            <w:col w:w="9820" w:space="720"/>
            <w:col w:w="560"/>
          </w:cols>
          <w:pgMar w:left="320" w:top="121" w:right="479" w:bottom="1440" w:gutter="0" w:footer="0" w:header="0"/>
        </w:sectPr>
      </w:pPr>
    </w:p>
    <w:p>
      <w:pPr>
        <w:spacing w:after="0" w:line="20" w:lineRule="exact"/>
        <w:rPr>
          <w:sz w:val="20"/>
          <w:szCs w:val="20"/>
          <w:color w:val="auto"/>
        </w:rPr>
      </w:pPr>
    </w:p>
    <w:p>
      <w:pPr>
        <w:ind w:left="640" w:right="280" w:firstLine="320"/>
        <w:spacing w:after="0" w:line="307" w:lineRule="auto"/>
        <w:rPr>
          <w:sz w:val="20"/>
          <w:szCs w:val="20"/>
          <w:color w:val="auto"/>
        </w:rPr>
      </w:pPr>
      <w:r>
        <w:rPr>
          <w:rFonts w:ascii="Times New Roman" w:cs="Times New Roman" w:eastAsia="Times New Roman" w:hAnsi="Times New Roman"/>
          <w:sz w:val="17"/>
          <w:szCs w:val="17"/>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40" w:lineRule="exact"/>
        <w:rPr>
          <w:sz w:val="20"/>
          <w:szCs w:val="20"/>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p>
      <w:pPr>
        <w:ind w:left="640" w:firstLine="320"/>
        <w:spacing w:after="0" w:line="277" w:lineRule="auto"/>
        <w:rPr>
          <w:sz w:val="20"/>
          <w:szCs w:val="20"/>
          <w:color w:val="auto"/>
        </w:rPr>
      </w:pPr>
      <w:r>
        <w:rPr>
          <w:rFonts w:ascii="Times New Roman" w:cs="Times New Roman" w:eastAsia="Times New Roman" w:hAnsi="Times New Roman"/>
          <w:sz w:val="18"/>
          <w:szCs w:val="18"/>
          <w:color w:val="auto"/>
        </w:rPr>
        <w:t>The exhibits listed on the accompanying index to exhibits immediately following the Consolidated Financial Statements are filed as part of, or hereby incorporated by reference into, this Form 10-K.</w:t>
      </w:r>
    </w:p>
    <w:p>
      <w:pPr>
        <w:spacing w:after="0" w:line="163" w:lineRule="exact"/>
        <w:rPr>
          <w:sz w:val="20"/>
          <w:szCs w:val="20"/>
          <w:color w:val="auto"/>
        </w:rPr>
      </w:pPr>
    </w:p>
    <w:p>
      <w:pPr>
        <w:ind w:left="320" w:hanging="313"/>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report:</w:t>
      </w: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610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47" w:lineRule="exact"/>
        <w:rPr>
          <w:sz w:val="20"/>
          <w:szCs w:val="20"/>
          <w:color w:val="auto"/>
        </w:rPr>
      </w:pPr>
    </w:p>
    <w:p>
      <w:pPr>
        <w:ind w:left="1080" w:right="100" w:hanging="746"/>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56">
        <w:r>
          <w:rPr>
            <w:rFonts w:ascii="Times New Roman" w:cs="Times New Roman" w:eastAsia="Times New Roman" w:hAnsi="Times New Roman"/>
            <w:sz w:val="18"/>
            <w:szCs w:val="18"/>
            <w:u w:val="single" w:color="auto"/>
            <w:color w:val="0000FF"/>
          </w:rPr>
          <w:t>Asset Purchase Agreement dated April 22, 2021 between Silicon Laboratories Inc. and Skyworks Solutions, Inc. (filed as Exhibit 2.1 to the</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Form 8-K filed on April 22, 2021).</w:t>
        </w:r>
      </w:hyperlink>
    </w:p>
    <w:p>
      <w:pPr>
        <w:spacing w:after="0" w:line="3" w:lineRule="exact"/>
        <w:rPr>
          <w:sz w:val="20"/>
          <w:szCs w:val="20"/>
          <w:color w:val="auto"/>
        </w:rPr>
      </w:pPr>
    </w:p>
    <w:p>
      <w:pPr>
        <w:ind w:left="1080" w:right="420" w:hanging="746"/>
        <w:spacing w:after="0" w:line="294" w:lineRule="auto"/>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7">
        <w:r>
          <w:rPr>
            <w:rFonts w:ascii="Times New Roman" w:cs="Times New Roman" w:eastAsia="Times New Roman" w:hAnsi="Times New Roman"/>
            <w:sz w:val="17"/>
            <w:szCs w:val="17"/>
            <w:u w:val="single" w:color="auto"/>
            <w:color w:val="0000FF"/>
          </w:rPr>
          <w:t>Form of Fourth Amended and Restated Certificate of Incorporation of Silicon Laboratories Inc. (filed as Exhibit 3.1 to the Registration</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Statement on Form S-1 (Securities and Exchange Commission File No. 333-94853) (the “IPO Registration Statement”)).</w:t>
        </w:r>
      </w:hyperlink>
    </w:p>
    <w:p>
      <w:pPr>
        <w:spacing w:after="0" w:line="1" w:lineRule="exact"/>
        <w:rPr>
          <w:sz w:val="20"/>
          <w:szCs w:val="20"/>
          <w:color w:val="auto"/>
        </w:rPr>
      </w:pPr>
    </w:p>
    <w:p>
      <w:pPr>
        <w:ind w:left="3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8">
        <w:r>
          <w:rPr>
            <w:rFonts w:ascii="Times New Roman" w:cs="Times New Roman" w:eastAsia="Times New Roman" w:hAnsi="Times New Roman"/>
            <w:sz w:val="17"/>
            <w:szCs w:val="17"/>
            <w:u w:val="single" w:color="auto"/>
            <w:color w:val="0000FF"/>
          </w:rPr>
          <w:t>Fifth Amended and Restated Bylaws of Silicon Laboratories Inc. (filed as Exhibit 3.1 to the Form 8-K filed on February 3, 2021).</w:t>
        </w:r>
      </w:hyperlink>
    </w:p>
    <w:p>
      <w:pPr>
        <w:spacing w:after="0" w:line="60" w:lineRule="exact"/>
        <w:rPr>
          <w:sz w:val="20"/>
          <w:szCs w:val="20"/>
          <w:color w:val="auto"/>
        </w:rPr>
      </w:pPr>
    </w:p>
    <w:p>
      <w:pPr>
        <w:ind w:left="1080" w:right="380" w:hanging="746"/>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59">
        <w:r>
          <w:rPr>
            <w:rFonts w:ascii="Times New Roman" w:cs="Times New Roman" w:eastAsia="Times New Roman" w:hAnsi="Times New Roman"/>
            <w:sz w:val="18"/>
            <w:szCs w:val="18"/>
            <w:u w:val="single" w:color="auto"/>
            <w:color w:val="0000FF"/>
          </w:rPr>
          <w:t>Description of Registrant’s Securities Registered under Section 12 of the Exchange Act (filed as Exhibit 4.7 to the Form 10 - K filed on</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February 1, 2023).</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102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39" w:lineRule="exact"/>
        <w:rPr>
          <w:sz w:val="20"/>
          <w:szCs w:val="20"/>
          <w:color w:val="auto"/>
        </w:rPr>
      </w:pPr>
    </w:p>
    <w:p>
      <w:pPr>
        <w:ind w:left="1080" w:right="2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7">
        <w:r>
          <w:rPr>
            <w:rFonts w:ascii="Times New Roman" w:cs="Times New Roman" w:eastAsia="Times New Roman" w:hAnsi="Times New Roman"/>
            <w:sz w:val="18"/>
            <w:szCs w:val="18"/>
            <w:u w:val="single" w:color="auto"/>
            <w:color w:val="0000FF"/>
          </w:rPr>
          <w:t>Form of Indemnification Agreement between Silicon Laboratories Inc. and each of its directors and executive officers (filed as Exhibit 10.1 to</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the IPO Registration Statement).</w:t>
        </w:r>
      </w:hyperlink>
    </w:p>
    <w:p>
      <w:pPr>
        <w:spacing w:after="0" w:line="3" w:lineRule="exact"/>
        <w:rPr>
          <w:sz w:val="20"/>
          <w:szCs w:val="20"/>
          <w:color w:val="auto"/>
        </w:rPr>
      </w:pPr>
    </w:p>
    <w:p>
      <w:pPr>
        <w:ind w:left="1080" w:right="220" w:hanging="791"/>
        <w:spacing w:after="0" w:line="294" w:lineRule="auto"/>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62">
        <w:r>
          <w:rPr>
            <w:rFonts w:ascii="Times New Roman" w:cs="Times New Roman" w:eastAsia="Times New Roman" w:hAnsi="Times New Roman"/>
            <w:sz w:val="17"/>
            <w:szCs w:val="17"/>
            <w:u w:val="single" w:color="auto"/>
            <w:color w:val="0000FF"/>
          </w:rPr>
          <w:t>Credit Agreement, dated July 31, 2012, by and among Silicon Laboratories Inc., the subsidiaries of the borrower identified therein, Bank of</w:t>
        </w:r>
      </w:hyperlink>
      <w:r>
        <w:rPr>
          <w:rFonts w:ascii="Times New Roman" w:cs="Times New Roman" w:eastAsia="Times New Roman" w:hAnsi="Times New Roman"/>
          <w:sz w:val="17"/>
          <w:szCs w:val="17"/>
          <w:u w:val="single" w:color="auto"/>
          <w:color w:val="0000FF"/>
        </w:rPr>
        <w:t xml:space="preserve"> </w:t>
      </w:r>
      <w:hyperlink r:id="rId62">
        <w:r>
          <w:rPr>
            <w:rFonts w:ascii="Times New Roman" w:cs="Times New Roman" w:eastAsia="Times New Roman" w:hAnsi="Times New Roman"/>
            <w:sz w:val="17"/>
            <w:szCs w:val="17"/>
            <w:u w:val="single" w:color="auto"/>
            <w:color w:val="0000FF"/>
          </w:rPr>
          <w:t>America, N.A., Wells Fargo Bank, National Association, and Regions Bank (filed as Exhibit 10.1 to the Form 8-K filed August 1, 2012).</w:t>
        </w:r>
      </w:hyperlink>
    </w:p>
    <w:p>
      <w:pPr>
        <w:spacing w:after="0" w:line="1" w:lineRule="exact"/>
        <w:rPr>
          <w:sz w:val="20"/>
          <w:szCs w:val="20"/>
          <w:color w:val="auto"/>
        </w:rPr>
      </w:pPr>
    </w:p>
    <w:p>
      <w:pPr>
        <w:ind w:left="1080" w:right="46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63">
        <w:r>
          <w:rPr>
            <w:rFonts w:ascii="Times New Roman" w:cs="Times New Roman" w:eastAsia="Times New Roman" w:hAnsi="Times New Roman"/>
            <w:sz w:val="18"/>
            <w:szCs w:val="18"/>
            <w:u w:val="single" w:color="auto"/>
            <w:color w:val="0000FF"/>
          </w:rPr>
          <w:t>First Amendment to Credit Agreement, dated July 24, 2015,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identified therein, Wells Fargo Bank, National Association, Citibank, N.A., Regions Bank, Bank of America, N.A. and the lenders party</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thereto (filed as Exhibit 10.1 to the Form 8-K filed on July 29, 2015).</w:t>
        </w:r>
      </w:hyperlink>
    </w:p>
    <w:p>
      <w:pPr>
        <w:spacing w:after="0" w:line="16" w:lineRule="exact"/>
        <w:rPr>
          <w:rFonts w:ascii="Times New Roman" w:cs="Times New Roman" w:eastAsia="Times New Roman" w:hAnsi="Times New Roman"/>
          <w:sz w:val="18"/>
          <w:szCs w:val="18"/>
          <w:u w:val="single" w:color="auto"/>
          <w:color w:val="0000FF"/>
        </w:rPr>
      </w:pPr>
    </w:p>
    <w:p>
      <w:pPr>
        <w:ind w:left="1080" w:right="12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64">
        <w:r>
          <w:rPr>
            <w:rFonts w:ascii="Times New Roman" w:cs="Times New Roman" w:eastAsia="Times New Roman" w:hAnsi="Times New Roman"/>
            <w:sz w:val="18"/>
            <w:szCs w:val="18"/>
            <w:u w:val="single" w:color="auto"/>
            <w:color w:val="0000FF"/>
          </w:rPr>
          <w:t>Second Amendment to Credit Agreement, dated February 27, 2017,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February 27, 2017).</w:t>
        </w:r>
      </w:hyperlink>
    </w:p>
    <w:p>
      <w:pPr>
        <w:spacing w:after="0" w:line="16" w:lineRule="exact"/>
        <w:rPr>
          <w:rFonts w:ascii="Times New Roman" w:cs="Times New Roman" w:eastAsia="Times New Roman" w:hAnsi="Times New Roman"/>
          <w:sz w:val="18"/>
          <w:szCs w:val="18"/>
          <w:u w:val="single" w:color="auto"/>
          <w:color w:val="0000FF"/>
        </w:rPr>
      </w:pPr>
    </w:p>
    <w:p>
      <w:pPr>
        <w:ind w:left="108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65">
        <w:r>
          <w:rPr>
            <w:rFonts w:ascii="Times New Roman" w:cs="Times New Roman" w:eastAsia="Times New Roman" w:hAnsi="Times New Roman"/>
            <w:sz w:val="18"/>
            <w:szCs w:val="18"/>
            <w:u w:val="single" w:color="auto"/>
            <w:color w:val="0000FF"/>
          </w:rPr>
          <w:t>Third Amendment to Credit Agreement, dated August 7, 2019,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August</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7, 2019).</w:t>
        </w:r>
      </w:hyperlink>
    </w:p>
    <w:p>
      <w:pPr>
        <w:spacing w:after="0" w:line="16" w:lineRule="exact"/>
        <w:rPr>
          <w:rFonts w:ascii="Times New Roman" w:cs="Times New Roman" w:eastAsia="Times New Roman" w:hAnsi="Times New Roman"/>
          <w:sz w:val="18"/>
          <w:szCs w:val="18"/>
          <w:u w:val="single" w:color="auto"/>
          <w:color w:val="0000FF"/>
        </w:rPr>
      </w:pPr>
    </w:p>
    <w:p>
      <w:pPr>
        <w:ind w:left="1080" w:right="20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66">
        <w:r>
          <w:rPr>
            <w:rFonts w:ascii="Times New Roman" w:cs="Times New Roman" w:eastAsia="Times New Roman" w:hAnsi="Times New Roman"/>
            <w:sz w:val="18"/>
            <w:szCs w:val="18"/>
            <w:u w:val="single" w:color="auto"/>
            <w:color w:val="0000FF"/>
          </w:rPr>
          <w:t>Fourth Amendment to Credit Agreement, dated May 26, 2020,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May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27, 2020).</w:t>
        </w:r>
      </w:hyperlink>
    </w:p>
    <w:p>
      <w:pPr>
        <w:spacing w:after="0" w:line="16" w:lineRule="exact"/>
        <w:rPr>
          <w:rFonts w:ascii="Times New Roman" w:cs="Times New Roman" w:eastAsia="Times New Roman" w:hAnsi="Times New Roman"/>
          <w:sz w:val="18"/>
          <w:szCs w:val="18"/>
          <w:u w:val="single" w:color="auto"/>
          <w:color w:val="0000FF"/>
        </w:rPr>
      </w:pPr>
    </w:p>
    <w:p>
      <w:pPr>
        <w:ind w:left="1080" w:right="160" w:hanging="791"/>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67">
        <w:r>
          <w:rPr>
            <w:rFonts w:ascii="Times New Roman" w:cs="Times New Roman" w:eastAsia="Times New Roman" w:hAnsi="Times New Roman"/>
            <w:sz w:val="18"/>
            <w:szCs w:val="18"/>
            <w:u w:val="single" w:color="auto"/>
            <w:color w:val="0000FF"/>
          </w:rPr>
          <w:t>Security and Pledge Agreement, dated July 31, 2012, by and among Silicon Laboratories Inc., with the other parties identified as “Obligors”</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(as defined therein) and such other parties that may become Obligors thereunder after the date thereof, and Bank of America, N.A (filed as</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Exhibit 10.2 to the Form 8-K filed August 1, 2012).</w:t>
        </w:r>
      </w:hyperlink>
    </w:p>
    <w:p>
      <w:pPr>
        <w:spacing w:after="0" w:line="16" w:lineRule="exact"/>
        <w:rPr>
          <w:rFonts w:ascii="Times New Roman" w:cs="Times New Roman" w:eastAsia="Times New Roman" w:hAnsi="Times New Roman"/>
          <w:sz w:val="18"/>
          <w:szCs w:val="18"/>
          <w:u w:val="single" w:color="auto"/>
          <w:color w:val="0000FF"/>
        </w:rPr>
      </w:pPr>
    </w:p>
    <w:p>
      <w:pPr>
        <w:ind w:left="1080" w:right="24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68">
        <w:r>
          <w:rPr>
            <w:rFonts w:ascii="Times New Roman" w:cs="Times New Roman" w:eastAsia="Times New Roman" w:hAnsi="Times New Roman"/>
            <w:sz w:val="18"/>
            <w:szCs w:val="18"/>
            <w:u w:val="single" w:color="auto"/>
            <w:color w:val="0000FF"/>
          </w:rPr>
          <w:t>Form of Restricted Stock Units Grant Notice and Global Restricted Stock Units Award Agreement under Registrant’s 2009 Stock Incentive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Plan, as amended and restated (filed as Exhibit 10.7 to the Form 10-K filed on February 1, 2017).</w:t>
        </w:r>
      </w:hyperlink>
    </w:p>
    <w:p>
      <w:pPr>
        <w:spacing w:after="0" w:line="3" w:lineRule="exact"/>
        <w:rPr>
          <w:sz w:val="20"/>
          <w:szCs w:val="20"/>
          <w:color w:val="auto"/>
        </w:rPr>
      </w:pPr>
    </w:p>
    <w:p>
      <w:pPr>
        <w:ind w:left="1080" w:right="40" w:hanging="841"/>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69">
        <w:r>
          <w:rPr>
            <w:rFonts w:ascii="Times New Roman" w:cs="Times New Roman" w:eastAsia="Times New Roman" w:hAnsi="Times New Roman"/>
            <w:sz w:val="18"/>
            <w:szCs w:val="18"/>
            <w:u w:val="single" w:color="auto"/>
            <w:color w:val="0000FF"/>
          </w:rPr>
          <w:t>Form of Market Stock Units Grant Notice and Global Market Stock Units Award Agreement under Registrant’s 2009 Stock Incentive Plan, as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amended and restated (filed as Exhibit 10.8 to the Form 10-K filed on February 1, 2017).</w:t>
        </w:r>
      </w:hyperlink>
    </w:p>
    <w:p>
      <w:pPr>
        <w:spacing w:after="0" w:line="3" w:lineRule="exact"/>
        <w:rPr>
          <w:sz w:val="20"/>
          <w:szCs w:val="20"/>
          <w:color w:val="auto"/>
        </w:rPr>
      </w:pPr>
    </w:p>
    <w:p>
      <w:pPr>
        <w:ind w:left="1080" w:right="26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70">
        <w:r>
          <w:rPr>
            <w:rFonts w:ascii="Times New Roman" w:cs="Times New Roman" w:eastAsia="Times New Roman" w:hAnsi="Times New Roman"/>
            <w:sz w:val="18"/>
            <w:szCs w:val="18"/>
            <w:u w:val="single" w:color="auto"/>
            <w:color w:val="0000FF"/>
          </w:rPr>
          <w:t>Form of Stock Option Grant Notice and Global Stock Option Award Agreement under Registrant’s 2009 Stock Incentive Plan, as amended</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and restated (filed as Exhibit 10.9 to the Form 10-K filed on February 1, 2017).</w:t>
        </w:r>
      </w:hyperlink>
    </w:p>
    <w:p>
      <w:pPr>
        <w:spacing w:after="0" w:line="3" w:lineRule="exact"/>
        <w:rPr>
          <w:sz w:val="20"/>
          <w:szCs w:val="20"/>
          <w:color w:val="auto"/>
        </w:rPr>
      </w:pPr>
    </w:p>
    <w:p>
      <w:pPr>
        <w:ind w:left="20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71">
        <w:r>
          <w:rPr>
            <w:rFonts w:ascii="Times New Roman" w:cs="Times New Roman" w:eastAsia="Times New Roman" w:hAnsi="Times New Roman"/>
            <w:sz w:val="17"/>
            <w:szCs w:val="17"/>
            <w:u w:val="single" w:color="auto"/>
            <w:color w:val="0000FF"/>
          </w:rPr>
          <w:t>Silicon Laboratories Inc. Form of Executive Severance Agreement (filed as Exhibit 10.2 to the Form 8-K filed on May 17, 2021).</w:t>
        </w:r>
      </w:hyperlink>
    </w:p>
    <w:p>
      <w:pPr>
        <w:spacing w:after="0" w:line="60"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72">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Incentive Plan, as amended and restated (filed as Exhibit 10.3 to the Form 8-K filed on May 17, 2021).</w:t>
        </w:r>
      </w:hyperlink>
    </w:p>
    <w:p>
      <w:pPr>
        <w:spacing w:after="0" w:line="3" w:lineRule="exact"/>
        <w:rPr>
          <w:sz w:val="20"/>
          <w:szCs w:val="20"/>
          <w:color w:val="auto"/>
        </w:rPr>
      </w:pPr>
    </w:p>
    <w:p>
      <w:pPr>
        <w:ind w:left="1080" w:right="10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73">
        <w:r>
          <w:rPr>
            <w:rFonts w:ascii="Times New Roman" w:cs="Times New Roman" w:eastAsia="Times New Roman" w:hAnsi="Times New Roman"/>
            <w:sz w:val="18"/>
            <w:szCs w:val="18"/>
            <w:u w:val="single" w:color="auto"/>
            <w:color w:val="0000FF"/>
          </w:rPr>
          <w:t>Silicon Laboratories Inc. 2009 Stock Incentive Plan (As Amended and Restated on April 22, 2021) (filed as Exhibit 4.3 to the Form S-8 filed</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on May 5, 2021).</w:t>
        </w:r>
      </w:hyperlink>
    </w:p>
    <w:p>
      <w:pPr>
        <w:spacing w:after="0" w:line="3" w:lineRule="exact"/>
        <w:rPr>
          <w:sz w:val="20"/>
          <w:szCs w:val="20"/>
          <w:color w:val="auto"/>
        </w:rPr>
      </w:pPr>
    </w:p>
    <w:p>
      <w:pPr>
        <w:ind w:left="1080" w:right="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74">
        <w:r>
          <w:rPr>
            <w:rFonts w:ascii="Times New Roman" w:cs="Times New Roman" w:eastAsia="Times New Roman" w:hAnsi="Times New Roman"/>
            <w:sz w:val="18"/>
            <w:szCs w:val="18"/>
            <w:u w:val="single" w:color="auto"/>
            <w:color w:val="0000FF"/>
          </w:rPr>
          <w:t>Silicon Laboratories Inc. 2009 Employee Stock Purchase Plan (As Amended and Restated on April 22, 2021) (filed as Exhibit 4.4 to the Form</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S-8 filed on May 5, 2021).</w:t>
        </w:r>
      </w:hyperlink>
    </w:p>
    <w:p>
      <w:pPr>
        <w:spacing w:after="0" w:line="3"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75">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Incentive Plan, as amended and restated (filed as Exhibit 10.1 to the Form 8-K filed on December 23, 2021).</w:t>
        </w:r>
      </w:hyperlink>
    </w:p>
    <w:p>
      <w:pPr>
        <w:spacing w:after="0" w:line="3" w:lineRule="exact"/>
        <w:rPr>
          <w:sz w:val="20"/>
          <w:szCs w:val="20"/>
          <w:color w:val="auto"/>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76">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Incentive Plan, as amended and restated (filed as Exhibit 10.20 to the Form 10-K filed on February 1, 2023).</w:t>
        </w:r>
      </w:hyperlink>
    </w:p>
    <w:p>
      <w:pPr>
        <w:spacing w:after="0" w:line="3" w:lineRule="exact"/>
        <w:rPr>
          <w:sz w:val="20"/>
          <w:szCs w:val="20"/>
          <w:color w:val="auto"/>
        </w:rPr>
      </w:pPr>
    </w:p>
    <w:p>
      <w:pPr>
        <w:ind w:left="1080" w:right="40" w:hanging="885"/>
        <w:spacing w:after="0" w:line="26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77">
        <w:r>
          <w:rPr>
            <w:rFonts w:ascii="Times New Roman" w:cs="Times New Roman" w:eastAsia="Times New Roman" w:hAnsi="Times New Roman"/>
            <w:sz w:val="18"/>
            <w:szCs w:val="18"/>
            <w:u w:val="single" w:color="auto"/>
            <w:color w:val="0000FF"/>
          </w:rPr>
          <w:t>Fifth Amendment to Credit Agreement, dated June 30, 2023, by and among Silicon Laboratories Inc., the subsidiaries of the borrower</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identified therein, Wells Fargo Bank, National Association and the lenders party thereto (filed as Exhibit 10.1 to the Form 8-K filed on July 3,</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2023).</w:t>
        </w:r>
      </w:hyperlink>
    </w:p>
    <w:p>
      <w:pPr>
        <w:spacing w:after="0" w:line="16" w:lineRule="exact"/>
        <w:rPr>
          <w:rFonts w:ascii="Times New Roman" w:cs="Times New Roman" w:eastAsia="Times New Roman" w:hAnsi="Times New Roman"/>
          <w:sz w:val="18"/>
          <w:szCs w:val="18"/>
          <w:u w:val="single" w:color="auto"/>
          <w:color w:val="0000FF"/>
        </w:rPr>
      </w:pPr>
    </w:p>
    <w:p>
      <w:pPr>
        <w:ind w:left="1080" w:right="220" w:hanging="885"/>
        <w:spacing w:after="0" w:line="27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78">
        <w:r>
          <w:rPr>
            <w:rFonts w:ascii="Times New Roman" w:cs="Times New Roman" w:eastAsia="Times New Roman" w:hAnsi="Times New Roman"/>
            <w:sz w:val="18"/>
            <w:szCs w:val="18"/>
            <w:u w:val="single" w:color="auto"/>
            <w:color w:val="0000FF"/>
          </w:rPr>
          <w:t>Silicon Laboratories Inc. Form of Performance Stock Units Grant Notice and Global PSU Award Agreement under Registrant’s 2009 Stock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Incentive Plan, as amended and restated (filed as Exhibit 10.19 to the Form 10-K filed on February 20, 2024).</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102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52" w:lineRule="exact"/>
        <w:rPr>
          <w:sz w:val="20"/>
          <w:szCs w:val="20"/>
          <w:color w:val="auto"/>
        </w:rPr>
      </w:pPr>
    </w:p>
    <w:p>
      <w:pPr>
        <w:ind w:left="1080" w:hanging="68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w:t>
      </w:r>
    </w:p>
    <w:p>
      <w:pPr>
        <w:spacing w:after="0" w:line="60" w:lineRule="exact"/>
        <w:rPr>
          <w:sz w:val="20"/>
          <w:szCs w:val="20"/>
          <w:color w:val="auto"/>
        </w:rPr>
      </w:pPr>
    </w:p>
    <w:p>
      <w:pPr>
        <w:ind w:left="1080" w:hanging="68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327" w:lineRule="exact"/>
        <w:rPr>
          <w:sz w:val="20"/>
          <w:szCs w:val="20"/>
          <w:color w:val="auto"/>
        </w:rPr>
      </w:pPr>
    </w:p>
    <w:p>
      <w:pPr>
        <w:ind w:left="1080" w:hanging="68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(included on signature page to this Form 10-K).</w:t>
      </w:r>
    </w:p>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31.1</w:t>
            </w:r>
          </w:p>
        </w:tc>
        <w:tc>
          <w:tcPr>
            <w:tcW w:w="7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the Principal Executive Officer, as required by Section 302 of the Sarbanes-Oxley Act of 2002.</w:t>
            </w:r>
          </w:p>
        </w:tc>
        <w:tc>
          <w:tcPr>
            <w:tcW w:w="2040" w:type="dxa"/>
            <w:vAlign w:val="bottom"/>
            <w:gridSpan w:val="2"/>
          </w:tcPr>
          <w:p>
            <w:pPr>
              <w:spacing w:after="0"/>
              <w:rPr>
                <w:sz w:val="17"/>
                <w:szCs w:val="17"/>
                <w:color w:val="auto"/>
              </w:rPr>
            </w:pP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31.2</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as required by Section 302 of the Sarbanes-Oxley Act of 2002.</w:t>
            </w: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32.1</w:t>
            </w:r>
          </w:p>
        </w:tc>
        <w:tc>
          <w:tcPr>
            <w:tcW w:w="5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Certification as required by Section 906 of the Sarbanes-Oxley Act of 2002.</w:t>
            </w:r>
          </w:p>
        </w:tc>
        <w:tc>
          <w:tcPr>
            <w:tcW w:w="2420" w:type="dxa"/>
            <w:vAlign w:val="bottom"/>
            <w:tcBorders>
              <w:top w:val="single" w:sz="8" w:color="0000FF"/>
            </w:tcBorders>
          </w:tcPr>
          <w:p>
            <w:pPr>
              <w:spacing w:after="0"/>
              <w:rPr>
                <w:sz w:val="21"/>
                <w:szCs w:val="21"/>
                <w:color w:val="auto"/>
              </w:rPr>
            </w:pPr>
          </w:p>
        </w:tc>
        <w:tc>
          <w:tcPr>
            <w:tcW w:w="2100" w:type="dxa"/>
            <w:vAlign w:val="bottom"/>
            <w:gridSpan w:val="3"/>
          </w:tcPr>
          <w:p>
            <w:pPr>
              <w:spacing w:after="0"/>
              <w:rPr>
                <w:sz w:val="21"/>
                <w:szCs w:val="21"/>
                <w:color w:val="auto"/>
              </w:rPr>
            </w:pPr>
          </w:p>
        </w:tc>
      </w:tr>
      <w:tr>
        <w:trPr>
          <w:trHeight w:val="24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97*</w:t>
            </w:r>
          </w:p>
        </w:tc>
        <w:tc>
          <w:tcPr>
            <w:tcW w:w="9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Policy Relating to Recovery of Erroneously Awarded Compensation (filed as Exhibit 97 to the Form 10-K filed on February 20, 2024).</w:t>
              </w:r>
            </w:hyperlink>
          </w:p>
        </w:tc>
        <w:tc>
          <w:tcPr>
            <w:tcW w:w="320" w:type="dxa"/>
            <w:vAlign w:val="bottom"/>
          </w:tcPr>
          <w:p>
            <w:pPr>
              <w:spacing w:after="0"/>
              <w:rPr>
                <w:sz w:val="21"/>
                <w:szCs w:val="21"/>
                <w:color w:val="auto"/>
              </w:rPr>
            </w:pPr>
          </w:p>
        </w:tc>
      </w:tr>
      <w:tr>
        <w:trPr>
          <w:trHeight w:val="269"/>
        </w:trPr>
        <w:tc>
          <w:tcPr>
            <w:tcW w:w="9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101.INS</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its XBRL tags are embedded</w:t>
            </w:r>
          </w:p>
        </w:tc>
      </w:tr>
      <w:tr>
        <w:trPr>
          <w:trHeight w:val="232"/>
        </w:trPr>
        <w:tc>
          <w:tcPr>
            <w:tcW w:w="920" w:type="dxa"/>
            <w:vAlign w:val="bottom"/>
          </w:tcPr>
          <w:p>
            <w:pPr>
              <w:spacing w:after="0"/>
              <w:rPr>
                <w:sz w:val="20"/>
                <w:szCs w:val="20"/>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101.SCH</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101.CAL</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101.LAB</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67"/>
        </w:trPr>
        <w:tc>
          <w:tcPr>
            <w:tcW w:w="9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101.PRE</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7"/>
        </w:trPr>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104</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5" w:lineRule="exact"/>
        <w:rPr>
          <w:sz w:val="20"/>
          <w:szCs w:val="20"/>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201" w:lineRule="exact"/>
        <w:rPr>
          <w:sz w:val="20"/>
          <w:szCs w:val="20"/>
          <w:color w:val="auto"/>
        </w:rPr>
      </w:pPr>
    </w:p>
    <w:p>
      <w:pPr>
        <w:ind w:left="320" w:hanging="313"/>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Austin, Texas, on February 4, 2025.</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SILICON LABORATORIES INC.</w:t>
      </w:r>
    </w:p>
    <w:p>
      <w:pPr>
        <w:spacing w:after="0" w:line="340" w:lineRule="exact"/>
        <w:rPr>
          <w:sz w:val="20"/>
          <w:szCs w:val="20"/>
          <w:color w:val="auto"/>
        </w:rPr>
      </w:pPr>
    </w:p>
    <w:p>
      <w:pPr>
        <w:ind w:left="538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41275</wp:posOffset>
            </wp:positionV>
            <wp:extent cx="3414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6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7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7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 Matthew Johnson and Dean Butler and each of them, acting individually, as his or her attorney-in-fact, each with full power of substitution and resubstitution, for him or her and in his or her name, place and stead, in any and all capacities, to sign any and all amendments to this annual report on Form 10-K and other documents in connection herewith and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herewith and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0" w:type="dxa"/>
            <w:vAlign w:val="bottom"/>
          </w:tcPr>
          <w:p>
            <w:pPr>
              <w:spacing w:after="0"/>
              <w:rPr>
                <w:sz w:val="16"/>
                <w:szCs w:val="16"/>
                <w:color w:val="auto"/>
              </w:rPr>
            </w:pPr>
          </w:p>
        </w:tc>
        <w:tc>
          <w:tcPr>
            <w:tcW w:w="576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8"/>
        </w:trPr>
        <w:tc>
          <w:tcPr>
            <w:tcW w:w="2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Navdeep S. Sooch</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Chairman of the Board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Navdeep S. Sooch</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R. Matthew Johnson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 Matthew Johnson</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Dean Butler</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Dean Butler</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Mark D. Mauldin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Accounting Officer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D. Mauldin</w:t>
            </w:r>
          </w:p>
        </w:tc>
        <w:tc>
          <w:tcPr>
            <w:tcW w:w="10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William G. Bock</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 G. Bock</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Gregg Lowe</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Gregg Lowe</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Sherri Luther</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Sherri Luther</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Nina Richardson</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Nina Richardson</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Sumit Sadana</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Sumit Sadana</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Christy Wyatt</w:t>
            </w: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4, 2025</w:t>
            </w: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Christy Wyatt</w:t>
            </w: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To the Stockholders and the Board of Directors of Silicon Laboratories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We have audited the accompanying consolidated balance sheets of Silicon Laboratories Inc. (the Company) as of December 28, 2024 and December 30, 2023, the related consolidated statements of operations, comprehensive income (loss), changes in stockholders’ equity and cash flows for each of the three years in the period ended December 28, 2024, and the related notes (collectively referred to as the “consolidated financial statements”). In our opinion, the consolidated financial statements present fairly, in all material respects, the financial position of the Company at December 28, 2024 and December 30, 2023, and the results of its operations and its cash flows for each of the three years in the period ended December 28, 2024, in conformity with U.S. generally accepted accounting principles.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33333"/>
        </w:rPr>
        <w:t>s internal control over financial reporting as of December 28, 2024, based on criteria established in Internal Control—Integrated Framework issued by the Committee of Sponsoring Organizations of the Treadway Commission (2013 framework), and our report dated February 4, 2025 expressed an unqualified opinion thereon.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333333"/>
        </w:rPr>
        <w:t>These financial statements are the responsibility of the 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333333"/>
        </w:rPr>
        <w:t>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40" w:type="dxa"/>
            <w:vAlign w:val="bottom"/>
          </w:tcPr>
          <w:p>
            <w:pPr>
              <w:spacing w:after="0"/>
              <w:rPr>
                <w:sz w:val="17"/>
                <w:szCs w:val="17"/>
                <w:color w:val="auto"/>
              </w:rPr>
            </w:pPr>
          </w:p>
        </w:tc>
      </w:tr>
      <w:tr>
        <w:trPr>
          <w:trHeight w:val="875"/>
        </w:trPr>
        <w:tc>
          <w:tcPr>
            <w:tcW w:w="12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tc>
      </w:tr>
      <w:tr>
        <w:trPr>
          <w:trHeight w:val="39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December 28, 2024, the Company’s net inventory balance was $105.6 million. As discussed in Note 2 to the consolidated</w:t>
            </w:r>
          </w:p>
        </w:tc>
      </w:tr>
      <w:tr>
        <w:trPr>
          <w:trHeight w:val="2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inventories are stated at the lower of cost, determined using the first-in, first-out method, or net realizable</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The Company writes down the carrying value of inventory to net realizable value if it is obsolete or if quantities are in</w:t>
            </w:r>
          </w:p>
        </w:tc>
      </w:tr>
      <w:tr>
        <w:trPr>
          <w:trHeight w:val="232"/>
        </w:trPr>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of projected customer demand.</w:t>
            </w:r>
          </w:p>
        </w:tc>
      </w:tr>
      <w:tr>
        <w:trPr>
          <w:trHeight w:val="368"/>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management’s estimates of excess and obsolete inventory was challenging because the estimate is judgmental and</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considers a number of factors that are affected by market and economic conditions that are outside of the Company’s control. In</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particular, excess and obsolete inventory calculations are sensitive to significant assumptions that relate to projected customer</w:t>
            </w:r>
          </w:p>
        </w:tc>
      </w:tr>
      <w:tr>
        <w:trPr>
          <w:trHeight w:val="232"/>
        </w:trPr>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demand for the Company’s products.</w:t>
            </w:r>
          </w:p>
        </w:tc>
      </w:tr>
      <w:tr>
        <w:trPr>
          <w:trHeight w:val="40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We obtained an understanding, evaluated the design and tested the operating effectiveness of internal controls over the Company’s</w:t>
            </w:r>
          </w:p>
        </w:tc>
      </w:tr>
      <w:tr>
        <w:trPr>
          <w:trHeight w:val="2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inventory valuation process for inventory. This included assessing management’s basis for developing the significant assumptions</w:t>
            </w:r>
          </w:p>
        </w:tc>
      </w:tr>
      <w:tr>
        <w:trPr>
          <w:trHeight w:val="232"/>
        </w:trPr>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projected customer demand.</w:t>
            </w:r>
          </w:p>
        </w:tc>
      </w:tr>
      <w:tr>
        <w:trPr>
          <w:trHeight w:val="368"/>
        </w:trPr>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Our audit procedures included, among others, evaluating the significant assumptions stated above and the underlying data used in</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management’s excess and obsolete inventory assessment. We evaluated inventory levels compared to projected customer demand</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and historical sales with an incremental focus on product groups subject to a longer demand horizon. We assessed the accuracy of</w:t>
            </w:r>
          </w:p>
        </w:tc>
      </w:tr>
      <w:tr>
        <w:trPr>
          <w:trHeight w:val="213"/>
        </w:trPr>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historical forecasts underlying management’s estimates and performed sensitivity analyses over the significant assumptions used</w:t>
            </w:r>
          </w:p>
        </w:tc>
      </w:tr>
      <w:tr>
        <w:trPr>
          <w:trHeight w:val="232"/>
        </w:trPr>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management to evaluate necessary changes in inventory valuation.</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Austin, Texas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the Board of Directors of Silicon Laboratories Inc.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Silicon Laboratories Inc.’s internal control over financial reporting as of December 28, 2024, based on criteria established in Internal Control— Integrated Framework issued by the Committee of Sponsoring Organizations of the Treadway Commission (2013 framework) (the COSO criteria). In our opinion, Silicon Laboratories Inc. (the Company) maintained, in all material respects, effective internal control over financial reporting as of December 28, 2024, based on the COSO criteria.</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28, 2024 and December 30, 2023, the related consolidated statements of operations, comprehensive income (loss), changes in stockholders’ equity and cash flows for each of the three years in the period ended December 28, 2024, and the related notes and our report dated February 4, 2025 expressed an unqualified opinion thereon.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Austin,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4, 2025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227,504</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211,720</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194,295</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737,931</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145,890</w:t>
            </w:r>
          </w:p>
        </w:tc>
        <w:tc>
          <w:tcPr>
            <w:tcW w:w="0" w:type="dxa"/>
            <w:vAlign w:val="bottom"/>
          </w:tcPr>
          <w:p>
            <w:pPr>
              <w:spacing w:after="0"/>
              <w:rPr>
                <w:sz w:val="1"/>
                <w:szCs w:val="1"/>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0" w:type="dxa"/>
            <w:vAlign w:val="bottom"/>
          </w:tcPr>
          <w:p>
            <w:pPr>
              <w:spacing w:after="0"/>
              <w:rPr>
                <w:sz w:val="1"/>
                <w:szCs w:val="1"/>
                <w:color w:val="auto"/>
              </w:rPr>
            </w:pPr>
          </w:p>
        </w:tc>
      </w:tr>
      <w:tr>
        <w:trPr>
          <w:trHeight w:val="26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123,313</w:t>
            </w: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1,443,056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100" w:type="dxa"/>
            <w:vAlign w:val="bottom"/>
          </w:tcPr>
          <w:p>
            <w:pPr>
              <w:spacing w:after="0"/>
              <w:rPr>
                <w:sz w:val="22"/>
                <w:szCs w:val="22"/>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 and returns liability</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58,955</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163,570</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70,804</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234,374</w:t>
            </w:r>
          </w:p>
        </w:tc>
        <w:tc>
          <w:tcPr>
            <w:tcW w:w="0" w:type="dxa"/>
            <w:vAlign w:val="bottom"/>
          </w:tcPr>
          <w:p>
            <w:pPr>
              <w:spacing w:after="0"/>
              <w:rPr>
                <w:sz w:val="1"/>
                <w:szCs w:val="1"/>
                <w:color w:val="auto"/>
              </w:rPr>
            </w:pPr>
          </w:p>
        </w:tc>
      </w:tr>
      <w:tr>
        <w:trPr>
          <w:trHeight w:val="25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 $0.0001 par value; 250,000 shares authorized; 32,458 and 31,897 shares issued and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at December 28, 2024 and December 30, 2023, respectively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0" w:type="dxa"/>
            <w:vAlign w:val="bottom"/>
          </w:tcPr>
          <w:p>
            <w:pPr>
              <w:spacing w:after="0"/>
              <w:rPr>
                <w:sz w:val="1"/>
                <w:szCs w:val="1"/>
                <w:color w:val="auto"/>
              </w:rPr>
            </w:pPr>
          </w:p>
        </w:tc>
      </w:tr>
      <w:tr>
        <w:trPr>
          <w:trHeight w:val="26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1,192,731</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4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1,208,682</w:t>
            </w: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1,443,056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1,024,106</w:t>
            </w:r>
          </w:p>
        </w:tc>
      </w:tr>
      <w:tr>
        <w:trPr>
          <w:trHeight w:val="24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381,549</w:t>
            </w: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642,557</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332,326</w:t>
            </w: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190,971</w:t>
            </w: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477,678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484,740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523,297</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119,260</w:t>
            </w: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w:t>
            </w:r>
          </w:p>
        </w:tc>
      </w:tr>
      <w:tr>
        <w:trPr>
          <w:trHeight w:val="254"/>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126,452</w:t>
            </w: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Equity-method earnings (loss)</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53"/>
        </w:trPr>
        <w:tc>
          <w:tcPr>
            <w:tcW w:w="66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r>
      <w:tr>
        <w:trPr>
          <w:trHeight w:val="25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3"/>
        </w:trPr>
        <w:tc>
          <w:tcPr>
            <w:tcW w:w="6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w:t>
            </w:r>
          </w:p>
        </w:tc>
      </w:tr>
      <w:tr>
        <w:trPr>
          <w:trHeight w:val="241"/>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36,042</w:t>
            </w: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5"/>
        </w:trPr>
        <w:tc>
          <w:tcPr>
            <w:tcW w:w="6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3"/>
                <w:szCs w:val="13"/>
                <w:color w:val="auto"/>
              </w:rPr>
            </w:pPr>
          </w:p>
        </w:tc>
        <w:tc>
          <w:tcPr>
            <w:tcW w:w="130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r>
      <w:tr>
        <w:trPr>
          <w:trHeight w:val="26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included in net income (loss)</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67"/>
        </w:trPr>
        <w:tc>
          <w:tcPr>
            <w:tcW w:w="6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4"/>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5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income (loss)</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73"/>
        </w:trPr>
        <w:tc>
          <w:tcPr>
            <w:tcW w:w="6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53"/>
        </w:trPr>
        <w:tc>
          <w:tcPr>
            <w:tcW w:w="6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53"/>
        </w:trPr>
        <w:tc>
          <w:tcPr>
            <w:tcW w:w="6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(189,915)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83,133</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3"/>
        </w:trPr>
        <w:tc>
          <w:tcPr>
            <w:tcW w:w="3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0"/>
        </w:trPr>
        <w:tc>
          <w:tcPr>
            <w:tcW w:w="3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06"/>
        </w:trPr>
        <w:tc>
          <w:tcPr>
            <w:tcW w:w="39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5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2,212,424</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Cumulative effect of adoption of accounting standard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(59,963)</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6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(887,554)</w:t>
            </w:r>
          </w:p>
        </w:tc>
      </w:tr>
      <w:tr>
        <w:trPr>
          <w:trHeight w:val="247"/>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60,576</w:t>
            </w:r>
          </w:p>
        </w:tc>
      </w:tr>
      <w:tr>
        <w:trPr>
          <w:trHeight w:val="25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1,405,008</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(213,024)</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debt activity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5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1,208,682</w:t>
            </w:r>
          </w:p>
        </w:tc>
      </w:tr>
      <w:tr>
        <w:trPr>
          <w:trHeight w:val="267"/>
        </w:trPr>
        <w:tc>
          <w:tcPr>
            <w:tcW w:w="3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4"/>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r>
      <w:tr>
        <w:trPr>
          <w:trHeight w:val="24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6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issuances, net of shares withheld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7"/>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61,342</w:t>
            </w:r>
          </w:p>
        </w:tc>
      </w:tr>
      <w:tr>
        <w:trPr>
          <w:trHeight w:val="27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(191,010)</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91,402</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 of</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7"/>
        </w:trPr>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continuing operations: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22,524</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34,071</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extinguishment of convertible debt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60,510</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Equity-method loss (earnings)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r>
      <w:tr>
        <w:trPr>
          <w:trHeight w:val="209"/>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(18,240)</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26,876</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(51,044)</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(31,240)</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36,797</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 and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(12,738)</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 and returns liability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w:t>
            </w:r>
          </w:p>
        </w:tc>
      </w:tr>
      <w:tr>
        <w:trPr>
          <w:trHeight w:val="32"/>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 of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141,274</w:t>
            </w:r>
          </w:p>
        </w:tc>
      </w:tr>
      <w:tr>
        <w:trPr>
          <w:trHeight w:val="107"/>
        </w:trPr>
        <w:tc>
          <w:tcPr>
            <w:tcW w:w="6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(607,237)</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223,354</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650,946</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(26,525)</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 of continuing operations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113,117</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240,538</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(883,424)</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taxes withheld for vested stock awards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(15,387)</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11,779</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(45,104)</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(711,871)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(887,053)</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(69,467)</w:t>
            </w: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discontinued operations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(69,467)</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7"/>
        </w:trPr>
        <w:tc>
          <w:tcPr>
            <w:tcW w:w="6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(574,708)</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1,074,623</w:t>
            </w:r>
          </w:p>
        </w:tc>
      </w:tr>
      <w:tr>
        <w:trPr>
          <w:trHeight w:val="23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281,607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227,504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499,915</w:t>
            </w:r>
          </w:p>
        </w:tc>
      </w:tr>
      <w:tr>
        <w:trPr>
          <w:trHeight w:val="23"/>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
        </w:trPr>
        <w:tc>
          <w:tcPr>
            <w:tcW w:w="6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r>
      <w:tr>
        <w:trPr>
          <w:trHeight w:val="32"/>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132,005</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0"/>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settlement of convertible debt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6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ind w:right="140" w:firstLine="320"/>
        <w:spacing w:after="0" w:line="252" w:lineRule="auto"/>
        <w:rPr>
          <w:sz w:val="20"/>
          <w:szCs w:val="20"/>
          <w:color w:val="auto"/>
        </w:rPr>
      </w:pPr>
      <w:r>
        <w:rPr>
          <w:rFonts w:ascii="Times New Roman" w:cs="Times New Roman" w:eastAsia="Times New Roman" w:hAnsi="Times New Roman"/>
          <w:sz w:val="18"/>
          <w:szCs w:val="18"/>
          <w:color w:val="auto"/>
        </w:rPr>
        <w:t>Silicon Laboratories Inc. (the “Company”), a Delaware corporation, is a leader in secure, intelligent wireless technology for a more connected world. Our integrated hardware and software platform, intuitive development tools, industry-leading ecosystem, and robust support help customers build advanced industrial, commercial, home, and life applications. The Company provides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Within the semiconductor industry, the Company is known as a “fabless” company meaning that the integrated circuits (“ICs”) incorporated in its products are manufactured by third-party foundry semiconductor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2"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The Company prepares financial statements on a 52- or 53-week fiscal year that ends on the Saturday closest to December 30. Fiscal 2024, 2023, and 2022 had 52 weeks. Fiscal 2024, 2023 and 2022 ended on December 28, 2024, December 30, 2023, and December 31, 2022, respectively. The accompanying Consolidated Financial Statements include the accounts of the Company and its wholly 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The Company’s foreign subsidiaries are considered to be extensions of the U.S. Company. The functional currency of the foreign subsidiaries is the U.S. dollar. Accordingly, gains and losses resulting from remeasuring transactions denominated in currencies other than U.S. dollars are included in interest income and other, net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2"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Level 2 - Inputs other than Level 1 that are directly or indirectly observable, such as quoted prices for similar assets or liabilities and quoted prices in less active markets.</w:t>
      </w:r>
    </w:p>
    <w:p>
      <w:pPr>
        <w:spacing w:after="0" w:line="163"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and cash equivalents consist of cash deposits and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95"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The Company’s investments typically have original maturities greater than ninety days as of the date of purchase and are classified as available-for-sale securities. Investments in available-for-sale securities are reported at fair value, with unrealized gains and losses, net of tax, recorded as a component of accumulated other comprehensive loss in the Consolidated Balance Sheet. Investments in which the Company has the ability and intent, if necessary, to liquidate in order to support its current operations (including those with contractual maturities greater than one year from the date of purchase) are classified as short-term.</w:t>
      </w:r>
    </w:p>
    <w:p>
      <w:pPr>
        <w:spacing w:after="0" w:line="146" w:lineRule="exact"/>
        <w:rPr>
          <w:sz w:val="20"/>
          <w:szCs w:val="20"/>
          <w:color w:val="auto"/>
        </w:rPr>
      </w:pPr>
    </w:p>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The Company reviews its available-for-sale investments as of the end of each reporting period for declines in fair value based on the specific identification method. The Company records an allowance for credit loss when a decline in fair value is due to credit-related factors. The Company considers various factors in determining whether an investment is impaired, including the severity of the impairment, changes in underlying credit ratings, forecasted recovery, its intent to sell or the likelihood that it would be required to sell the investment before its anticipated recovery in market value and the probability that the scheduled cash payments will continue to be made. When the Company concludes that a credit-related impairment has occurred, the Company assesses whether it intends to sell the security or if it is more likely than not that it will be required to sell the security before recovery. If either of these two conditions is met, the Company recognizes a charge in earnings equal to the entire difference between the security’s amortized cost basis and its fair value. If the Company does not intend to sell a security and it is not more likely than not that it will be required to sell the security before recovery, the unrealized loss is separated into an amount representing the credit loss, which is recognized in earnings, and the amount related to all other factors, which is recorded in accumulated other comprehensive loss.</w:t>
      </w:r>
    </w:p>
    <w:p>
      <w:pPr>
        <w:spacing w:after="0" w:line="192" w:lineRule="exact"/>
        <w:rPr>
          <w:sz w:val="20"/>
          <w:szCs w:val="20"/>
          <w:color w:val="auto"/>
        </w:rPr>
      </w:pPr>
    </w:p>
    <w:p>
      <w:pPr>
        <w:ind w:right="60" w:firstLine="320"/>
        <w:spacing w:after="0" w:line="267" w:lineRule="auto"/>
        <w:rPr>
          <w:sz w:val="20"/>
          <w:szCs w:val="20"/>
          <w:color w:val="auto"/>
        </w:rPr>
      </w:pPr>
      <w:r>
        <w:rPr>
          <w:rFonts w:ascii="Times New Roman" w:cs="Times New Roman" w:eastAsia="Times New Roman" w:hAnsi="Times New Roman"/>
          <w:sz w:val="17"/>
          <w:szCs w:val="17"/>
          <w:color w:val="auto"/>
        </w:rPr>
        <w:t xml:space="preserve">In addition, the Company has made equity investments in non-publicly traded companies. Equity investments in which the Company does not have control, but has the ability to exercise significant influence over operating and financial policies, are accounted for using the equity method. The Company’s proportionate share of income or loss is recorded in equity-method earnings in the Consolidated Statements of Operations. The Company has elected to use the measurement alternative under Financial Accounting Standards Board (“FASB”) Accounting Standards Update (“ASU”) 2019-04, </w:t>
      </w:r>
      <w:r>
        <w:rPr>
          <w:rFonts w:ascii="Times New Roman" w:cs="Times New Roman" w:eastAsia="Times New Roman" w:hAnsi="Times New Roman"/>
          <w:sz w:val="17"/>
          <w:szCs w:val="17"/>
          <w:i w:val="1"/>
          <w:iCs w:val="1"/>
          <w:color w:val="auto"/>
        </w:rPr>
        <w:t>Codification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Topic 326, Financial Instruments—Credit Losses, Topic 815, Derivatives and Hedging, and Topic 825, Financial Instruments, </w:t>
      </w:r>
      <w:r>
        <w:rPr>
          <w:rFonts w:ascii="Times New Roman" w:cs="Times New Roman" w:eastAsia="Times New Roman" w:hAnsi="Times New Roman"/>
          <w:sz w:val="17"/>
          <w:szCs w:val="17"/>
          <w:color w:val="auto"/>
        </w:rPr>
        <w:t>to value non-marketable equity investments that do not have readily determinable fair values. Under the alternative, these non-marketable equity investments are recorded at cost minus impairment, if any, plus or minus changes resulting from qualifying observable price changes of the same or similar securities in observable transactions. The Company periodically reviews its equity investments for declines in fair value based on the specific identification method and writes down investments to their estimated fair values when it determines that a decline has occurred. In fiscal 2023, the Company sold its ownership in Walden Technology Ventures III, a limited partnership, and recognized the loss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2"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Consolidated Balance Sheet at fair value. Cash flows from derivatives are classified according to the nature of the cash receipt or payment in the Consolidated Statement of Cash Flows.</w:t>
      </w:r>
    </w:p>
    <w:p>
      <w:pPr>
        <w:spacing w:after="0" w:line="186"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Company also uses foreign currency forward contracts to reduce the earnings impact that exchange rate fluctuations have on non-U.S. dollar balance sheet exposures. The Company does not apply hedge accounting to these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2"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Inventories are stated at the lower of cost, determined using the first-in, first-out method, or net realizable value. The Company writes down the carrying value of inventory to net realizable value for estimated obsolescence or unmarketable inventory based upon assumptions about the age of inventory, future demand and market conditions. Inventory impairment charges establish a new cost basis for inventory and charges are not subsequently reversed to income even if circumstances later suggest that increased carrying amounts are recoverable.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Incentives</w:t>
      </w:r>
    </w:p>
    <w:p>
      <w:pPr>
        <w:spacing w:after="0" w:line="222"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Incentives provided by government entities are recognized when we have reasonable assurance that we will comply with the conditions of the incentive, if any, and that the incentive will be received. Incentives for specific operating activities are recognized as a reduction to expense in the same line item on the Consolidated Statements of Operations as the expenditure for which the incentive is intended to compensate. Incentives related to the acquisition or construction of fixed assets are recognized as a reduction to property, plant and equipment within the Consolidated Balance Sheets and a reduction to depreciation expense over the useful life of the corresponding acquired asset.</w:t>
      </w:r>
    </w:p>
    <w:p>
      <w:pPr>
        <w:spacing w:after="0" w:line="186" w:lineRule="exact"/>
        <w:rPr>
          <w:sz w:val="20"/>
          <w:szCs w:val="20"/>
          <w:color w:val="auto"/>
        </w:rPr>
      </w:pPr>
    </w:p>
    <w:p>
      <w:pPr>
        <w:jc w:val="both"/>
        <w:ind w:right="140" w:firstLine="320"/>
        <w:spacing w:after="0" w:line="262" w:lineRule="auto"/>
        <w:rPr>
          <w:sz w:val="20"/>
          <w:szCs w:val="20"/>
          <w:color w:val="auto"/>
        </w:rPr>
      </w:pPr>
      <w:r>
        <w:rPr>
          <w:rFonts w:ascii="Times New Roman" w:cs="Times New Roman" w:eastAsia="Times New Roman" w:hAnsi="Times New Roman"/>
          <w:sz w:val="18"/>
          <w:szCs w:val="18"/>
          <w:color w:val="auto"/>
        </w:rPr>
        <w:t>The Company receives incentives from governmental agencies in Singapore, France, and Canada, principally in the form of cash grants and refundable tax credits. As of December 28, 2024, the Company recognized receivables of $5.2 million in Prepaid expenses and other current assets and $4.9 million in Other assets, net.</w:t>
      </w:r>
    </w:p>
    <w:p>
      <w:pPr>
        <w:spacing w:after="0" w:line="176"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In fiscal 2024, Cost of revenues and Research and development benefited by $0.7 million and $4.0 million, respectively, from a reduction in depreciation expense and operating-related incentives, and property, plant and equipment was reduced by $1.1 million from government incentives related to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2"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useful lives of the assets ranging from three to fifteen years. Leasehold improvements are depreciated over the lease term or their useful life, whichever is shorter.</w:t>
      </w:r>
    </w:p>
    <w:p>
      <w:pPr>
        <w:spacing w:after="0" w:line="163"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The Company owns the facilities for its headquarters in Austin, Texas. The buildings are located on land which is leased through 2099 from a third party. The rents for these ground leases were prepaid for the term of the leases. The buildings and leasehold interest in ground leases are being depreciated on a straight-line basis over their estimated useful lives of 40 years and 86 years,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2" w:lineRule="exact"/>
        <w:rPr>
          <w:sz w:val="20"/>
          <w:szCs w:val="20"/>
          <w:color w:val="auto"/>
        </w:rPr>
      </w:pPr>
    </w:p>
    <w:p>
      <w:pPr>
        <w:ind w:right="220" w:firstLine="320"/>
        <w:spacing w:after="0" w:line="257" w:lineRule="auto"/>
        <w:rPr>
          <w:sz w:val="20"/>
          <w:szCs w:val="20"/>
          <w:color w:val="auto"/>
        </w:rPr>
      </w:pPr>
      <w:r>
        <w:rPr>
          <w:rFonts w:ascii="Times New Roman" w:cs="Times New Roman" w:eastAsia="Times New Roman" w:hAnsi="Times New Roman"/>
          <w:sz w:val="18"/>
          <w:szCs w:val="18"/>
          <w:color w:val="auto"/>
        </w:rPr>
        <w:t>The Company records business combinations using the acquisition method of accounting and, accordingly, allocates the fair value of acquisition consideration to the assets acquired and liabilities assumed based on their fair values at the acquisition date. The excess of the fair value of purchase consideration over the fair value of the assets acquired and liabilities assumed is recorded as goodwill. The results of operations of the businesses acquired are included in the Company’s consolidated results of operations beginning on the date of the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2" w:lineRule="exact"/>
        <w:rPr>
          <w:sz w:val="20"/>
          <w:szCs w:val="20"/>
          <w:color w:val="auto"/>
        </w:rPr>
      </w:pPr>
    </w:p>
    <w:p>
      <w:pPr>
        <w:jc w:val="both"/>
        <w:ind w:right="340" w:firstLine="320"/>
        <w:spacing w:after="0" w:line="262" w:lineRule="auto"/>
        <w:rPr>
          <w:sz w:val="20"/>
          <w:szCs w:val="20"/>
          <w:color w:val="auto"/>
        </w:rPr>
      </w:pPr>
      <w:r>
        <w:rPr>
          <w:rFonts w:ascii="Times New Roman" w:cs="Times New Roman" w:eastAsia="Times New Roman" w:hAnsi="Times New Roman"/>
          <w:sz w:val="18"/>
          <w:szCs w:val="18"/>
          <w:color w:val="auto"/>
        </w:rPr>
        <w:t>Purchased intangible assets are stated at cost, net of accumulated amortization, and are amortized using the straight-line method over their estimated useful lives, ranging from seven to twelve years. Fair values are determined primarily using the income approach, in which the Company projects future expected cash flows and applies an appropriate discount rate.</w:t>
      </w:r>
    </w:p>
    <w:p>
      <w:pPr>
        <w:spacing w:after="0" w:line="176" w:lineRule="exact"/>
        <w:rPr>
          <w:sz w:val="20"/>
          <w:szCs w:val="20"/>
          <w:color w:val="auto"/>
        </w:rPr>
      </w:pPr>
    </w:p>
    <w:p>
      <w:pPr>
        <w:jc w:val="both"/>
        <w:ind w:right="340" w:firstLine="320"/>
        <w:spacing w:after="0" w:line="277"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their net book value may not be recoverable. When such factors and circumstances exist,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76"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7"/>
          <w:szCs w:val="17"/>
          <w:color w:val="auto"/>
        </w:rPr>
        <w:t>The Company tests goodwill for impairment annually as of the first day of its fourth fiscal quarter and in interim periods if events occur that would indicate that the carrying value of goodwill may be impaired. The Company assesses goodwill for impairment by comparing the fair value of the reporting unit to its carrying amount. In determining fair value, several valuation methodologies are allowed, although quoted market prices are the best evidence of fair value. If the fair value of the reporting unit is less than its carrying amount, an impairment loss is recognized equal to that excess amount.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As its leases typically do not provide an implicit rate, the Company uses its incremental borrowing rate based on the information available at the commencement date taking into consideration necessary adjustments for collateral, depending on the facts and circumstances of the lessee and the leased asset, and term to match the lease term. The right-of-use (“ROU”) asset is measured at cost, which includes the initial measurement of the lease liability and initial direct costs incurred by the Company and excludes lease incentives. Lease liabilities are recorded in other current liabilities and other non-current liabilities. ROU assets are recorded in other assets, net.</w:t>
      </w:r>
    </w:p>
    <w:p>
      <w:pPr>
        <w:spacing w:after="0" w:line="146" w:lineRule="exact"/>
        <w:rPr>
          <w:sz w:val="20"/>
          <w:szCs w:val="20"/>
          <w:color w:val="auto"/>
        </w:rPr>
      </w:pPr>
    </w:p>
    <w:p>
      <w:pPr>
        <w:ind w:right="340" w:firstLine="320"/>
        <w:spacing w:after="0" w:line="262"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that option. Operating lease costs are recognized on a straight-line basis over the lease term. Lease agreements that contain both lease and non-lease components are generally accounted for separately.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2" w:lineRule="exact"/>
        <w:rPr>
          <w:sz w:val="20"/>
          <w:szCs w:val="20"/>
          <w:color w:val="auto"/>
        </w:rPr>
      </w:pPr>
    </w:p>
    <w:p>
      <w:pPr>
        <w:ind w:right="60" w:firstLine="320"/>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customer, in an amount that reflects the consideration the Company expects to be entitled to in exchange for those goods or services. Substantially all of the Company’s contracts with customers contain a single performance obligation, the sale of mixed-signal integrated circuit (IC) products. This performance obligation is satisfied when control of the product is transferred to the customer, which typically occurs upon delivery. Unsatisfied performance obligations primarily represent contracts for products with future delivery dates. The Company has opted to not disclose the amount of unsatisfied performance obligations as these contracts have original expected durations of less than one year.</w:t>
      </w:r>
    </w:p>
    <w:p>
      <w:pPr>
        <w:spacing w:after="0" w:line="145"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The transaction price reflects the Company’s expectations about the consideration it will be entitled to receive from the customer and may include fixed or variable amounts. Variable consideration primarily includes sales made to distributors under agreements allowing for credits to be issued to the distributor due to price protection and certain rights of return, referred to as stock rotation. The Company estimates variable consideration at the most likely amount to which it expects to be entitled. The estimate is based on information available to the Company, including recent sales activity and pricing data. The Company applies a constraint to its variable consideration estimate which considers both the likelihood of a return and the amount of a potential price concession. Variable consideration that does not meet revenue recognition criteria is deferred. The Company records a right of return asset in prepaid expenses and other current assets for the costs of distributor inventory not meeting revenue recognition criteria. A corresponding deferred revenue and returns liability amount is recorded for unrecognized revenue associated with such costs. The Company’s products carry a one-year replacement warranty. Payments are typically due within 30 days of invoicing and do not include a significant financing component.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Shipping and handling costs are classified as a component of cost of revenues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0" w:lineRule="exact"/>
        <w:rPr>
          <w:sz w:val="20"/>
          <w:szCs w:val="20"/>
          <w:color w:val="auto"/>
        </w:rPr>
      </w:pPr>
    </w:p>
    <w:p>
      <w:pPr>
        <w:ind w:right="100" w:firstLine="320"/>
        <w:spacing w:after="0" w:line="279" w:lineRule="auto"/>
        <w:rPr>
          <w:sz w:val="20"/>
          <w:szCs w:val="20"/>
          <w:color w:val="auto"/>
        </w:rPr>
      </w:pPr>
      <w:r>
        <w:rPr>
          <w:rFonts w:ascii="Times New Roman" w:cs="Times New Roman" w:eastAsia="Times New Roman" w:hAnsi="Times New Roman"/>
          <w:sz w:val="18"/>
          <w:szCs w:val="18"/>
          <w:color w:val="auto"/>
        </w:rPr>
        <w:t xml:space="preserve">The Company has stock-based compensation plans, which are more fully described in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Company accounts for those plans using a fair-value method and recognizes the expense in its Consolidated Statement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p>
      <w:pPr>
        <w:ind w:right="460" w:firstLine="32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Assets purchased to support the Company’s ongoing research and development activities are capitalized when related to products which have achieved technological feasibility or have an alternative future use, and are amortized over their estimated useful lives.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expenses were not material for any of the periods presented.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2"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whereby deferred tax asset and liability account balances are determined based on differences between the financial reporting and the tax bases of assets and liabilities and are measured using the enacted tax laws and related rates that will be in effect when the differences are expected to reverse. These differences result in deferred tax assets and liabilities, which are included in the Company’s Consolidated Balance Sheets. The Company then assesses the likelihood that the deferred tax assets will be realized. A valuation allowance is established against deferred tax assets to the extent the Company believes that it is more likely than not that the deferred tax assets will not be realized, taking into consideration the level of historical taxable income and projections for future taxable income over the periods in which the temporary differences are deductible.</w:t>
      </w:r>
    </w:p>
    <w:p>
      <w:pPr>
        <w:spacing w:after="0" w:line="187" w:lineRule="exact"/>
        <w:rPr>
          <w:sz w:val="20"/>
          <w:szCs w:val="20"/>
          <w:color w:val="auto"/>
        </w:rPr>
      </w:pPr>
    </w:p>
    <w:p>
      <w:pPr>
        <w:ind w:right="460" w:firstLine="320"/>
        <w:spacing w:after="0" w:line="262" w:lineRule="auto"/>
        <w:rPr>
          <w:sz w:val="20"/>
          <w:szCs w:val="20"/>
          <w:color w:val="auto"/>
        </w:rPr>
      </w:pPr>
      <w:r>
        <w:rPr>
          <w:rFonts w:ascii="Times New Roman" w:cs="Times New Roman" w:eastAsia="Times New Roman" w:hAnsi="Times New Roman"/>
          <w:sz w:val="18"/>
          <w:szCs w:val="18"/>
          <w:color w:val="auto"/>
        </w:rPr>
        <w:t xml:space="preserve">Uncertain tax positions must meet a more-likely-than-not threshold to be recognized in the financial statements and the tax benefits recognized are measured based on the largest benefit that has a greater than 50% likelihood of being realized upon final settlement.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p>
    <w:p>
      <w:pPr>
        <w:spacing w:after="0" w:line="220"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 xml:space="preserve">The Company adopted FASB ASU 2023-07, </w:t>
      </w:r>
      <w:r>
        <w:rPr>
          <w:rFonts w:ascii="Times New Roman" w:cs="Times New Roman" w:eastAsia="Times New Roman" w:hAnsi="Times New Roman"/>
          <w:sz w:val="18"/>
          <w:szCs w:val="18"/>
          <w:i w:val="1"/>
          <w:iCs w:val="1"/>
          <w:color w:val="auto"/>
        </w:rPr>
        <w:t>Segment Reporting (Topic 280)—Improvements to Reportable Segment Disclosures</w:t>
      </w:r>
      <w:r>
        <w:rPr>
          <w:rFonts w:ascii="Times New Roman" w:cs="Times New Roman" w:eastAsia="Times New Roman" w:hAnsi="Times New Roman"/>
          <w:sz w:val="18"/>
          <w:szCs w:val="18"/>
          <w:color w:val="auto"/>
        </w:rPr>
        <w:t xml:space="preserve"> on December 28,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The requirements of this ASU are disclosure-related and did not have an impact on the Company’s consolidated financial position and results of operations. See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the updated segment disclosures as a result of adopting this ASU.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0" w:lineRule="exact"/>
        <w:rPr>
          <w:sz w:val="20"/>
          <w:szCs w:val="20"/>
          <w:color w:val="auto"/>
        </w:rPr>
      </w:pPr>
    </w:p>
    <w:p>
      <w:pPr>
        <w:ind w:right="140" w:firstLine="3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As the requirements of this ASU are disclosure-related, the adoption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35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will not have an impact on the Company’s consolidated financial position and results of operations. The Company is currently evaluating the impact of this update on its income tax disclosures.</w:t>
      </w:r>
    </w:p>
    <w:p>
      <w:pPr>
        <w:spacing w:after="0" w:line="161" w:lineRule="exact"/>
        <w:rPr>
          <w:sz w:val="20"/>
          <w:szCs w:val="20"/>
          <w:color w:val="auto"/>
        </w:rPr>
      </w:pPr>
    </w:p>
    <w:p>
      <w:pPr>
        <w:ind w:right="120" w:firstLine="3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that public business entities disclose additional information about specific expense categories in the notes to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(Loss) Per Share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(in thousands, except per share data):</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r>
      <w:tr>
        <w:trPr>
          <w:trHeight w:val="253"/>
        </w:trPr>
        <w:tc>
          <w:tcPr>
            <w:tcW w:w="6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earnings (loss) per share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w:t>
            </w:r>
          </w:p>
        </w:tc>
      </w:tr>
      <w:tr>
        <w:trPr>
          <w:trHeight w:val="267"/>
        </w:trPr>
        <w:tc>
          <w:tcPr>
            <w:tcW w:w="6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awards and convertible debt</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78"/>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(loss) per share</w:t>
            </w: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7"/>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6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periods where the Company reports net income, diluted earnings per share was computed using the treasury stock method for stock-based awards and the if-converted method for convertible debt. Diluted shares for fiscal 2024 excluded 0.2 million shares and fiscal 2023 excluded 0.9 million shares due to the Company’s net loss for the periods.</w:t>
      </w:r>
    </w:p>
    <w:p>
      <w:pPr>
        <w:spacing w:after="0" w:line="176"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The Company irrevocably elected to settle the principal amount of its 0.625% convertible senior notes due 2025 (the “2025 Notes”) in cash and any excess value in shares in the event of a conversion. In June 2023, the Company paid $535.0 million in cash and issued 0.9 million shares of common stock in connection with the conversions and redemptions of the 2025 Notes. For fiscal 2022, approximately 0.6 million shares were included in the denominator for the calculation of diluted earnings per share (related to the not yet converted or redeemed 2025 Notes.) Securities that were anti-dilutive were insignificant and were excluded from the computation of diluted earnings per share in all periods presented.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4"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at December 28, 2024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
        </w:trPr>
        <w:tc>
          <w:tcPr>
            <w:tcW w:w="6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55"/>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7"/>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r>
      <w:tr>
        <w:trPr>
          <w:trHeight w:val="25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r>
      <w:tr>
        <w:trPr>
          <w:trHeight w:val="267"/>
        </w:trPr>
        <w:tc>
          <w:tcPr>
            <w:tcW w:w="6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4"/>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54"/>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r>
      <w:tr>
        <w:trPr>
          <w:trHeight w:val="273"/>
        </w:trPr>
        <w:tc>
          <w:tcPr>
            <w:tcW w:w="6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r>
      <w:tr>
        <w:trPr>
          <w:trHeight w:val="20"/>
        </w:trPr>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2"/>
        </w:trPr>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7"/>
        </w:trPr>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at December 30, 2023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1"/>
        </w:trPr>
        <w:tc>
          <w:tcPr>
            <w:tcW w:w="6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55"/>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7"/>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137,195</w:t>
            </w:r>
          </w:p>
        </w:tc>
      </w:tr>
      <w:tr>
        <w:trPr>
          <w:trHeight w:val="25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r>
      <w:tr>
        <w:trPr>
          <w:trHeight w:val="267"/>
        </w:trPr>
        <w:tc>
          <w:tcPr>
            <w:tcW w:w="63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4"/>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130,047</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130,047</w:t>
            </w:r>
          </w:p>
        </w:tc>
      </w:tr>
      <w:tr>
        <w:trPr>
          <w:trHeight w:val="254"/>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81,673</w:t>
            </w: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211,720</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211,720</w:t>
            </w:r>
          </w:p>
        </w:tc>
      </w:tr>
      <w:tr>
        <w:trPr>
          <w:trHeight w:val="273"/>
        </w:trPr>
        <w:tc>
          <w:tcPr>
            <w:tcW w:w="6380" w:type="dxa"/>
            <w:vAlign w:val="bottom"/>
            <w:gridSpan w:val="2"/>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4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211,720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348,915</w:t>
            </w:r>
          </w:p>
        </w:tc>
      </w:tr>
      <w:tr>
        <w:trPr>
          <w:trHeight w:val="20"/>
        </w:trPr>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methodology</w:t>
      </w:r>
    </w:p>
    <w:p>
      <w:pPr>
        <w:spacing w:after="0" w:line="222" w:lineRule="exact"/>
        <w:rPr>
          <w:sz w:val="20"/>
          <w:szCs w:val="20"/>
          <w:color w:val="auto"/>
        </w:rPr>
      </w:pPr>
    </w:p>
    <w:p>
      <w:pPr>
        <w:ind w:right="60" w:firstLine="320"/>
        <w:spacing w:after="0" w:line="254" w:lineRule="auto"/>
        <w:rPr>
          <w:sz w:val="20"/>
          <w:szCs w:val="20"/>
          <w:color w:val="auto"/>
        </w:rPr>
      </w:pPr>
      <w:r>
        <w:rPr>
          <w:rFonts w:ascii="Times New Roman" w:cs="Times New Roman" w:eastAsia="Times New Roman" w:hAnsi="Times New Roman"/>
          <w:sz w:val="18"/>
          <w:szCs w:val="18"/>
          <w:color w:val="auto"/>
        </w:rPr>
        <w:t>The Company’s cash equivalents and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 The Company’s foreign currency derivative instruments are valued using discounted cash flow models. The assumptions used in preparing the valuation models include foreign exchange rates, forward and spot prices for currencies and market observable data of similar instruments.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components of available-for-sale investments: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Reported As</w:t>
            </w:r>
          </w:p>
        </w:tc>
      </w:tr>
      <w:tr>
        <w:trPr>
          <w:trHeight w:val="38"/>
        </w:trPr>
        <w:tc>
          <w:tcPr>
            <w:tcW w:w="3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9"/>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Marketable</w:t>
            </w:r>
          </w:p>
        </w:tc>
      </w:tr>
      <w:tr>
        <w:trPr>
          <w:trHeight w:val="20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200" w:type="dxa"/>
            <w:vAlign w:val="bottom"/>
          </w:tcPr>
          <w:p>
            <w:pPr>
              <w:spacing w:after="0"/>
              <w:rPr>
                <w:sz w:val="17"/>
                <w:szCs w:val="17"/>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25"/>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r>
      <w:tr>
        <w:trPr>
          <w:trHeight w:val="25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516"/>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Reported As</w:t>
            </w:r>
          </w:p>
        </w:tc>
      </w:tr>
      <w:tr>
        <w:trPr>
          <w:trHeight w:val="38"/>
        </w:trPr>
        <w:tc>
          <w:tcPr>
            <w:tcW w:w="3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7"/>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Marketable</w:t>
            </w:r>
          </w:p>
        </w:tc>
      </w:tr>
      <w:tr>
        <w:trPr>
          <w:trHeight w:val="202"/>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30, 2023</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200" w:type="dxa"/>
            <w:vAlign w:val="bottom"/>
          </w:tcPr>
          <w:p>
            <w:pPr>
              <w:spacing w:after="0"/>
              <w:rPr>
                <w:sz w:val="17"/>
                <w:szCs w:val="17"/>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25"/>
        </w:trPr>
        <w:tc>
          <w:tcPr>
            <w:tcW w:w="3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130,047</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r>
      <w:tr>
        <w:trPr>
          <w:trHeight w:val="25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350,144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211,720</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maturities of investments</w:t>
      </w:r>
    </w:p>
    <w:p>
      <w:pPr>
        <w:spacing w:after="0" w:line="222"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The Company’s available-for-sale investments are reported at fair value, with unrealized gains and losses, net of tax, recorded as a component of accumulated other comprehensive loss in the Consolidated Balance Sheet. The following summarizes the contractual underlying maturities of the Company’s available-for-sale investments at December 28, 2024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6"/>
                <w:szCs w:val="16"/>
                <w:color w:val="auto"/>
              </w:rPr>
            </w:pPr>
          </w:p>
        </w:tc>
        <w:tc>
          <w:tcPr>
            <w:tcW w:w="11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w:t>
            </w:r>
          </w:p>
        </w:tc>
      </w:tr>
      <w:tr>
        <w:trPr>
          <w:trHeight w:val="24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55,546</w:t>
            </w:r>
          </w:p>
        </w:tc>
      </w:tr>
      <w:tr>
        <w:trPr>
          <w:trHeight w:val="272"/>
        </w:trPr>
        <w:tc>
          <w:tcPr>
            <w:tcW w:w="8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Unrealized Gains and Losses</w:t>
      </w:r>
    </w:p>
    <w:p>
      <w:pPr>
        <w:spacing w:after="0" w:line="222"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7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7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0" w:type="dxa"/>
            <w:vAlign w:val="bottom"/>
          </w:tcPr>
          <w:p>
            <w:pPr>
              <w:spacing w:after="0"/>
              <w:rPr>
                <w:sz w:val="16"/>
                <w:szCs w:val="16"/>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3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55"/>
        </w:trPr>
        <w:tc>
          <w:tcPr>
            <w:tcW w:w="3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tcPr>
          <w:p>
            <w:pPr>
              <w:spacing w:after="0"/>
              <w:rPr>
                <w:sz w:val="13"/>
                <w:szCs w:val="13"/>
                <w:color w:val="auto"/>
              </w:rPr>
            </w:pPr>
          </w:p>
        </w:tc>
        <w:tc>
          <w:tcPr>
            <w:tcW w:w="15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0" w:type="dxa"/>
            <w:vAlign w:val="bottom"/>
          </w:tcPr>
          <w:p>
            <w:pPr>
              <w:spacing w:after="0"/>
              <w:rPr>
                <w:sz w:val="13"/>
                <w:szCs w:val="13"/>
                <w:color w:val="auto"/>
              </w:rPr>
            </w:pPr>
          </w:p>
        </w:tc>
        <w:tc>
          <w:tcPr>
            <w:tcW w:w="1660" w:type="dxa"/>
            <w:vAlign w:val="bottom"/>
          </w:tcPr>
          <w:p>
            <w:pPr>
              <w:jc w:val="center"/>
              <w:ind w:left="309"/>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0"/>
        </w:trPr>
        <w:tc>
          <w:tcPr>
            <w:tcW w:w="30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87"/>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Losses</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2"/>
        </w:trPr>
        <w:tc>
          <w:tcPr>
            <w:tcW w:w="30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24"/>
                <w:szCs w:val="2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00" w:type="dxa"/>
            <w:vAlign w:val="bottom"/>
          </w:tcPr>
          <w:p>
            <w:pPr>
              <w:spacing w:after="0"/>
              <w:rPr>
                <w:sz w:val="24"/>
                <w:szCs w:val="24"/>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24"/>
                <w:szCs w:val="24"/>
                <w:color w:val="auto"/>
              </w:rPr>
            </w:pPr>
          </w:p>
        </w:tc>
      </w:tr>
      <w:tr>
        <w:trPr>
          <w:trHeight w:val="25"/>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5"/>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7"/>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0"/>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8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30, 2023</w:t>
            </w:r>
          </w:p>
        </w:tc>
        <w:tc>
          <w:tcPr>
            <w:tcW w:w="3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5"/>
        </w:trPr>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47"/>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2"/>
        </w:trPr>
        <w:tc>
          <w:tcPr>
            <w:tcW w:w="3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unrealized losses as of December 28, 2024 and December 30, 2023 were due primarily to changes in market interest rates.</w:t>
      </w:r>
    </w:p>
    <w:p>
      <w:pPr>
        <w:spacing w:after="0" w:line="220"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December 28, 2024, there were no material declines in the market value of available-for-sale investments due to credit-related factors.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28, 2024 and December 30, 2023, there were no material unrealized gains associated with the Company’s available-for-sale investments.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2"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Prior to its conversion or redemption in June 2023, the Company’s debt was recorded at cost, but measured at fair value for disclosure purposes. The fair value of the Company’s 2025 Notes was determined using observable market prices. The notes were traded in less active markets and were therefore classified as a Level 2 fair value measurement. No notes were outstanding as of December 28, 2024.</w:t>
      </w:r>
    </w:p>
    <w:p>
      <w:pPr>
        <w:spacing w:after="0" w:line="176" w:lineRule="exact"/>
        <w:rPr>
          <w:sz w:val="20"/>
          <w:szCs w:val="20"/>
          <w:color w:val="auto"/>
        </w:rPr>
      </w:pPr>
    </w:p>
    <w:p>
      <w:pPr>
        <w:ind w:right="260" w:firstLine="320"/>
        <w:spacing w:after="0" w:line="277"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4" w:lineRule="exact"/>
        <w:rPr>
          <w:sz w:val="20"/>
          <w:szCs w:val="20"/>
          <w:color w:val="auto"/>
        </w:rPr>
      </w:pPr>
    </w:p>
    <w:p>
      <w:pPr>
        <w:jc w:val="both"/>
        <w:ind w:right="200" w:firstLine="320"/>
        <w:spacing w:after="0" w:line="262"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 (Continued)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2" w:lineRule="exact"/>
        <w:rPr>
          <w:sz w:val="20"/>
          <w:szCs w:val="20"/>
          <w:color w:val="auto"/>
        </w:rPr>
      </w:pPr>
    </w:p>
    <w:p>
      <w:pPr>
        <w:ind w:firstLine="320"/>
        <w:spacing w:after="0" w:line="268" w:lineRule="auto"/>
        <w:rPr>
          <w:sz w:val="20"/>
          <w:szCs w:val="20"/>
          <w:color w:val="auto"/>
        </w:rPr>
      </w:pPr>
      <w:r>
        <w:rPr>
          <w:rFonts w:ascii="Times New Roman" w:cs="Times New Roman" w:eastAsia="Times New Roman" w:hAnsi="Times New Roman"/>
          <w:sz w:val="17"/>
          <w:szCs w:val="17"/>
          <w:color w:val="auto"/>
        </w:rPr>
        <w:t>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(loss) in the Consolidated Balance Sheet and subsequently reclassified into earnings in the period during which the hedged transaction is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(loss) may be recognized in the Consolidated Statement of Operations based on an assessment of the contracts at the time of termination. As of December 28, 2024, the Company held no such foreign currency forward contracts. The fair value of the contracts, contract gains or losses recognized in other comprehensive income (loss) and amounts reclassified from accumulated other comprehensive income (loss) into earnings were not material for any of the periods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show the details of selected Consolidated Balance Sheet items (in thousands):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 w:type="dxa"/>
            <w:vAlign w:val="bottom"/>
            <w:tcBorders>
              <w:right w:val="single" w:sz="8" w:color="CCEEFF"/>
            </w:tcBorders>
          </w:tcPr>
          <w:p>
            <w:pPr>
              <w:spacing w:after="0"/>
              <w:rPr>
                <w:sz w:val="21"/>
                <w:szCs w:val="21"/>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 w:type="dxa"/>
            <w:vAlign w:val="bottom"/>
            <w:tcBorders>
              <w:right w:val="single" w:sz="8" w:color="CCEEFF"/>
            </w:tcBorders>
          </w:tcPr>
          <w:p>
            <w:pPr>
              <w:spacing w:after="0"/>
              <w:rPr>
                <w:sz w:val="23"/>
                <w:szCs w:val="23"/>
                <w:color w:val="auto"/>
              </w:rPr>
            </w:pPr>
          </w:p>
        </w:tc>
        <w:tc>
          <w:tcPr>
            <w:tcW w:w="80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gridSpan w:val="2"/>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194,295</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interest in ground leases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2"/>
                <w:szCs w:val="22"/>
                <w:color w:val="auto"/>
              </w:rPr>
            </w:pPr>
          </w:p>
        </w:tc>
        <w:tc>
          <w:tcPr>
            <w:tcW w:w="8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(172,422)</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80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2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Information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0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0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9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70,804</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Risks and Uncertainties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2"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equivalents, investments, accounts receivable and derivatives. The Company places its cash equivalents and investments primarily in money market funds, corporate bonds, U.S. government securities, asset-back securities, and Yankee bonds. Concentrations of credit risk with respect to accounts receivable are primarily due to customers with large outstanding balances. The Company’s customers that accounted for greater than 10% of accounts receivable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4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40" w:type="dxa"/>
            <w:vAlign w:val="bottom"/>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 w:type="dxa"/>
            <w:vAlign w:val="bottom"/>
          </w:tcPr>
          <w:p>
            <w:pPr>
              <w:spacing w:after="0"/>
              <w:rPr>
                <w:sz w:val="21"/>
                <w:szCs w:val="21"/>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40" w:type="dxa"/>
            <w:vAlign w:val="bottom"/>
          </w:tcPr>
          <w:p>
            <w:pPr>
              <w:spacing w:after="0"/>
              <w:rPr>
                <w:sz w:val="22"/>
                <w:szCs w:val="22"/>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0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10% of accounts receivable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194" w:lineRule="exact"/>
        <w:rPr>
          <w:sz w:val="20"/>
          <w:szCs w:val="20"/>
          <w:color w:val="auto"/>
        </w:rPr>
      </w:pPr>
    </w:p>
    <w:p>
      <w:pPr>
        <w:jc w:val="both"/>
        <w:ind w:right="300" w:firstLine="320"/>
        <w:spacing w:after="0" w:line="262" w:lineRule="auto"/>
        <w:rPr>
          <w:sz w:val="20"/>
          <w:szCs w:val="20"/>
          <w:color w:val="auto"/>
        </w:rPr>
      </w:pPr>
      <w:r>
        <w:rPr>
          <w:rFonts w:ascii="Times New Roman" w:cs="Times New Roman" w:eastAsia="Times New Roman" w:hAnsi="Times New Roman"/>
          <w:sz w:val="18"/>
          <w:szCs w:val="18"/>
          <w:color w:val="auto"/>
        </w:rPr>
        <w:t>The Company performs periodic credit evaluations of its customers’ financial condition and generally requires no collateral from its customers. The Company provides an allowance for expected credit losses based upon the net amount expected to be collected on such receivables. Losses have not been significant for any of the periods presented.</w:t>
      </w:r>
    </w:p>
    <w:p>
      <w:pPr>
        <w:spacing w:after="0" w:line="176" w:lineRule="exact"/>
        <w:rPr>
          <w:sz w:val="20"/>
          <w:szCs w:val="20"/>
          <w:color w:val="auto"/>
        </w:rPr>
      </w:pPr>
    </w:p>
    <w:p>
      <w:pPr>
        <w:ind w:right="200" w:firstLine="320"/>
        <w:spacing w:after="0" w:line="262" w:lineRule="auto"/>
        <w:rPr>
          <w:sz w:val="20"/>
          <w:szCs w:val="20"/>
          <w:color w:val="auto"/>
        </w:rPr>
      </w:pPr>
      <w:r>
        <w:rPr>
          <w:rFonts w:ascii="Times New Roman" w:cs="Times New Roman" w:eastAsia="Times New Roman" w:hAnsi="Times New Roman"/>
          <w:sz w:val="18"/>
          <w:szCs w:val="18"/>
          <w:color w:val="auto"/>
        </w:rPr>
        <w:t>As a result of its use of derivative instruments, the Company is exposed to the risk that its counterparties will fail to meet their contractual obligations. To mitigate this counterparty credit risk, the Company has a policy to enter into contracts with only selected major financial institutions. The Company periodically reviews and re-assesses the creditworthiness of such counterparties based on a variety of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 Advances</w:t>
      </w:r>
    </w:p>
    <w:p>
      <w:pPr>
        <w:spacing w:after="0" w:line="222" w:lineRule="exact"/>
        <w:rPr>
          <w:sz w:val="20"/>
          <w:szCs w:val="20"/>
          <w:color w:val="auto"/>
        </w:rPr>
      </w:pPr>
    </w:p>
    <w:p>
      <w:pPr>
        <w:ind w:right="420" w:firstLine="320"/>
        <w:spacing w:after="0" w:line="262" w:lineRule="auto"/>
        <w:rPr>
          <w:sz w:val="20"/>
          <w:szCs w:val="20"/>
          <w:color w:val="auto"/>
        </w:rPr>
      </w:pPr>
      <w:r>
        <w:rPr>
          <w:rFonts w:ascii="Times New Roman" w:cs="Times New Roman" w:eastAsia="Times New Roman" w:hAnsi="Times New Roman"/>
          <w:sz w:val="18"/>
          <w:szCs w:val="18"/>
          <w:color w:val="auto"/>
        </w:rPr>
        <w:t>On sales to distributors, the Company’s payment terms often require the distributor to initially pay amounts owed to the Company for an amount in excess of their ultimate cost. The Company’s sales price to its distributors may be higher than the amount that the distributors will ultimately owe the Company because distributors often negotiate price reductions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Risks and Uncertainties (Continued)</w:t>
      </w:r>
    </w:p>
    <w:p>
      <w:pPr>
        <w:spacing w:after="0" w:line="35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after purchasing the product from the Company and such reductions are often significant. These negotiated price discounts are not granted until the distributor sells the product to the end customer, which may occur after the distributor has paid the original invoice amount to the Company. Payment of invoices prior to receiving an associated discount can have an adverse impact on the working capital of the Company’s distributors. Accordingly, the Company has entered into agreements with certain distributors whereby it advances cash to the distributors to reduce the distributor’s working capital requirements. The advance amounts are based on the distributor’s inventory balance and are adjusted quarterly. Such amounts are recorded in prepaid expenses and other current assets in the Consolidated Balance Sheet. The terms of these advances are set forth in binding legal agreements and are unsecured, bear no interest on unsettled balances and are due upon demand. The agreements governing these advances can be cancelled by the Company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2" w:lineRule="exact"/>
        <w:rPr>
          <w:sz w:val="20"/>
          <w:szCs w:val="20"/>
          <w:color w:val="auto"/>
        </w:rPr>
      </w:pPr>
    </w:p>
    <w:p>
      <w:pPr>
        <w:ind w:right="380" w:firstLine="320"/>
        <w:spacing w:after="0" w:line="257" w:lineRule="auto"/>
        <w:rPr>
          <w:sz w:val="20"/>
          <w:szCs w:val="20"/>
          <w:color w:val="auto"/>
        </w:rPr>
      </w:pPr>
      <w:r>
        <w:rPr>
          <w:rFonts w:ascii="Times New Roman" w:cs="Times New Roman" w:eastAsia="Times New Roman" w:hAnsi="Times New Roman"/>
          <w:sz w:val="18"/>
          <w:szCs w:val="18"/>
          <w:color w:val="auto"/>
        </w:rPr>
        <w:t>A significant portion of the Company’s products are fabricated by Taiwan Semiconductor Manufacturing Co. (“TSMC”) or Semiconductor Manufacturing International Corporation (“SMIC”). The inability of TSMC or SMIC to deliver wafers to the Company on a timely basis could impact the production of the Company’s products for a substantial period of time, which could have a material adverse effect on the Company’s business, financial condition, results of operations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2" w:lineRule="exact"/>
        <w:rPr>
          <w:sz w:val="20"/>
          <w:szCs w:val="20"/>
          <w:color w:val="auto"/>
        </w:rPr>
      </w:pPr>
    </w:p>
    <w:p>
      <w:pPr>
        <w:ind w:right="240" w:firstLine="320"/>
        <w:spacing w:after="0" w:line="257" w:lineRule="auto"/>
        <w:rPr>
          <w:sz w:val="20"/>
          <w:szCs w:val="20"/>
          <w:color w:val="auto"/>
        </w:rPr>
      </w:pPr>
      <w:r>
        <w:rPr>
          <w:rFonts w:ascii="Times New Roman" w:cs="Times New Roman" w:eastAsia="Times New Roman" w:hAnsi="Times New Roman"/>
          <w:sz w:val="18"/>
          <w:szCs w:val="18"/>
          <w:color w:val="auto"/>
        </w:rPr>
        <w:t>The Company sells directly to end customers, distributors and contract manufacturers. Although the Company actually sells the products to, and is paid by, distributors and contract manufacturers, the Company refers to the end customer as its customer. None of the Company’s end customers accounted for greater than 10% of revenue during fiscal 2024, 2023 or 2022. The Company’s distributors that accounted for greater than 10% of revenue consisted of the following:</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spacing w:after="0"/>
              <w:rPr>
                <w:sz w:val="16"/>
                <w:szCs w:val="16"/>
                <w:color w:val="auto"/>
              </w:rPr>
            </w:pPr>
          </w:p>
        </w:tc>
      </w:tr>
      <w:tr>
        <w:trPr>
          <w:trHeight w:val="25"/>
        </w:trPr>
        <w:tc>
          <w:tcPr>
            <w:tcW w:w="62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55"/>
        </w:trPr>
        <w:tc>
          <w:tcPr>
            <w:tcW w:w="6220" w:type="dxa"/>
            <w:vAlign w:val="bottom"/>
          </w:tcPr>
          <w:p>
            <w:pPr>
              <w:spacing w:after="0"/>
              <w:rPr>
                <w:sz w:val="13"/>
                <w:szCs w:val="13"/>
                <w:color w:val="auto"/>
              </w:rPr>
            </w:pPr>
          </w:p>
        </w:tc>
        <w:tc>
          <w:tcPr>
            <w:tcW w:w="168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40" w:type="dxa"/>
            <w:vAlign w:val="bottom"/>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220" w:type="dxa"/>
            <w:vAlign w:val="bottom"/>
          </w:tcPr>
          <w:p>
            <w:pPr>
              <w:spacing w:after="0"/>
              <w:rPr>
                <w:sz w:val="16"/>
                <w:szCs w:val="16"/>
                <w:color w:val="auto"/>
              </w:rPr>
            </w:pPr>
          </w:p>
        </w:tc>
        <w:tc>
          <w:tcPr>
            <w:tcW w:w="158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 Electronics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Edom Technology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 Assets, Net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other intangible assets, net are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00" w:type="dxa"/>
            <w:vAlign w:val="bottom"/>
          </w:tcPr>
          <w:p>
            <w:pPr>
              <w:spacing w:after="0"/>
              <w:rPr>
                <w:sz w:val="13"/>
                <w:szCs w:val="13"/>
                <w:color w:val="auto"/>
              </w:rPr>
            </w:pPr>
          </w:p>
        </w:tc>
        <w:tc>
          <w:tcPr>
            <w:tcW w:w="2740" w:type="dxa"/>
            <w:vAlign w:val="bottom"/>
            <w:gridSpan w:val="4"/>
            <w:vMerge w:val="restart"/>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4"/>
            <w:vMerge w:val="restart"/>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126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(151,722)</w:t>
            </w:r>
          </w:p>
        </w:tc>
        <w:tc>
          <w:tcPr>
            <w:tcW w:w="0" w:type="dxa"/>
            <w:vAlign w:val="bottom"/>
          </w:tcPr>
          <w:p>
            <w:pPr>
              <w:spacing w:after="0"/>
              <w:rPr>
                <w:sz w:val="1"/>
                <w:szCs w:val="1"/>
                <w:color w:val="auto"/>
              </w:rPr>
            </w:pPr>
          </w:p>
        </w:tc>
      </w:tr>
      <w:tr>
        <w:trPr>
          <w:trHeight w:val="247"/>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 Assets, Net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details of intangible asset amortization expense recognized in the Consolidated Statements of Operations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28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w:t>
            </w:r>
          </w:p>
        </w:tc>
      </w:tr>
      <w:tr>
        <w:trPr>
          <w:trHeight w:val="24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72"/>
        </w:trPr>
        <w:tc>
          <w:tcPr>
            <w:tcW w:w="6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The estimated aggregate amortization expense for intangible assets subject to amortization for each of the five succeeding fiscal years is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9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7"/>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w:t>
            </w:r>
          </w:p>
        </w:tc>
      </w:tr>
      <w:tr>
        <w:trPr>
          <w:trHeight w:val="24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6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4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6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2"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w:t>
      </w:r>
    </w:p>
    <w:p>
      <w:pPr>
        <w:spacing w:after="0" w:line="186"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w:t>
      </w:r>
    </w:p>
    <w:p>
      <w:pPr>
        <w:spacing w:after="0" w:line="186" w:lineRule="exact"/>
        <w:rPr>
          <w:sz w:val="20"/>
          <w:szCs w:val="20"/>
          <w:color w:val="auto"/>
        </w:rPr>
      </w:pPr>
    </w:p>
    <w:p>
      <w:pPr>
        <w:jc w:val="both"/>
        <w:ind w:right="160" w:firstLine="320"/>
        <w:spacing w:after="0" w:line="257" w:lineRule="auto"/>
        <w:rPr>
          <w:sz w:val="20"/>
          <w:szCs w:val="20"/>
          <w:color w:val="auto"/>
        </w:rPr>
      </w:pPr>
      <w:r>
        <w:rPr>
          <w:rFonts w:ascii="Times New Roman" w:cs="Times New Roman" w:eastAsia="Times New Roman" w:hAnsi="Times New Roman"/>
          <w:sz w:val="18"/>
          <w:szCs w:val="18"/>
          <w:color w:val="auto"/>
        </w:rPr>
        <w:t>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w:t>
      </w:r>
    </w:p>
    <w:p>
      <w:pPr>
        <w:spacing w:after="0" w:line="181" w:lineRule="exact"/>
        <w:rPr>
          <w:sz w:val="20"/>
          <w:szCs w:val="20"/>
          <w:color w:val="auto"/>
        </w:rPr>
      </w:pPr>
    </w:p>
    <w:p>
      <w:pPr>
        <w:ind w:right="100" w:firstLine="320"/>
        <w:spacing w:after="0" w:line="257" w:lineRule="auto"/>
        <w:rPr>
          <w:sz w:val="20"/>
          <w:szCs w:val="20"/>
          <w:color w:val="auto"/>
        </w:rPr>
      </w:pPr>
      <w:r>
        <w:rPr>
          <w:rFonts w:ascii="Times New Roman" w:cs="Times New Roman" w:eastAsia="Times New Roman" w:hAnsi="Times New Roman"/>
          <w:sz w:val="18"/>
          <w:szCs w:val="18"/>
          <w:color w:val="auto"/>
        </w:rPr>
        <w:t>The Company was granted a waiver of compliance for the minimum interest coverage ratio through March 29, 2025. Based on the waiver, as of December 28, 2024, the Company was in compliance with all covenants of the credit facility. The Company’s obligations under the credit facility are guaranteed by the Guarantors and are secured by a security interest in substantially all assets of the Company and the Guarantors. As of December 28, 2024, no amounts were outstanding on the credit facility.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4"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The Company leases certain facilities under operating lease agreements that expire at various dates through 2031. Some of these arrangements contain renewal options and require the Company to pay taxes, insurance and maintenance costs. Lease costs for operating leases were $7.7 million, $7.8 million and $7.3 million during fiscal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Lease Information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Sheet Information (in thousands)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Consolidated Balance</w:t>
      </w:r>
    </w:p>
    <w:p>
      <w:pPr>
        <w:spacing w:after="0" w:line="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Sheet Classification</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28,</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30,</w:t>
      </w:r>
    </w:p>
    <w:p>
      <w:pPr>
        <w:spacing w:after="0" w:line="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2" w:lineRule="exact"/>
        <w:rPr>
          <w:sz w:val="20"/>
          <w:szCs w:val="20"/>
          <w:color w:val="auto"/>
        </w:rPr>
      </w:pPr>
    </w:p>
    <w:p>
      <w:pPr>
        <w:sectPr>
          <w:pgSz w:w="11900" w:h="16838" w:orient="portrait"/>
          <w:cols w:equalWidth="0" w:num="4">
            <w:col w:w="5240" w:space="720"/>
            <w:col w:w="1820" w:space="720"/>
            <w:col w:w="840" w:space="720"/>
            <w:col w:w="116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67"/>
        </w:trPr>
        <w:tc>
          <w:tcPr>
            <w:tcW w:w="5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top w:val="single" w:sz="8" w:color="CCEEFF"/>
            </w:tcBorders>
            <w:shd w:val="clear" w:color="auto" w:fill="CCEEFF"/>
          </w:tcPr>
          <w:p>
            <w:pPr>
              <w:spacing w:after="0"/>
              <w:rPr>
                <w:sz w:val="23"/>
                <w:szCs w:val="23"/>
                <w:color w:val="auto"/>
              </w:rPr>
            </w:pPr>
          </w:p>
        </w:tc>
        <w:tc>
          <w:tcPr>
            <w:tcW w:w="29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w:t>
            </w:r>
          </w:p>
        </w:tc>
        <w:tc>
          <w:tcPr>
            <w:tcW w:w="80" w:type="dxa"/>
            <w:vAlign w:val="bottom"/>
            <w:tcBorders>
              <w:top w:val="single" w:sz="8" w:color="auto"/>
            </w:tcBorders>
            <w:gridSpan w:val="2"/>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40" w:type="dxa"/>
            <w:vAlign w:val="bottom"/>
            <w:tcBorders>
              <w:top w:val="single" w:sz="8" w:color="auto"/>
            </w:tcBorders>
            <w:shd w:val="clear" w:color="auto" w:fill="CCEEFF"/>
          </w:tcPr>
          <w:p>
            <w:pPr>
              <w:spacing w:after="0"/>
              <w:rPr>
                <w:sz w:val="23"/>
                <w:szCs w:val="23"/>
                <w:color w:val="auto"/>
              </w:rPr>
            </w:pPr>
          </w:p>
        </w:tc>
      </w:tr>
      <w:tr>
        <w:trPr>
          <w:trHeight w:val="24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40" w:type="dxa"/>
            <w:vAlign w:val="bottom"/>
          </w:tcPr>
          <w:p>
            <w:pPr>
              <w:spacing w:after="0"/>
              <w:rPr>
                <w:sz w:val="21"/>
                <w:szCs w:val="21"/>
                <w:color w:val="auto"/>
              </w:rPr>
            </w:pPr>
          </w:p>
        </w:tc>
      </w:tr>
      <w:tr>
        <w:trPr>
          <w:trHeight w:val="260"/>
        </w:trPr>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40" w:type="dxa"/>
            <w:vAlign w:val="bottom"/>
            <w:shd w:val="clear" w:color="auto" w:fill="CCEEFF"/>
          </w:tcPr>
          <w:p>
            <w:pPr>
              <w:spacing w:after="0"/>
              <w:rPr>
                <w:sz w:val="22"/>
                <w:szCs w:val="22"/>
                <w:color w:val="auto"/>
              </w:rPr>
            </w:pPr>
          </w:p>
        </w:tc>
      </w:tr>
      <w:tr>
        <w:trPr>
          <w:trHeight w:val="522"/>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9"/>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5"/>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5"/>
        </w:trPr>
        <w:tc>
          <w:tcPr>
            <w:tcW w:w="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Flow Information (in thousands)</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7"/>
        </w:trPr>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40" w:type="dxa"/>
            <w:vAlign w:val="bottom"/>
            <w:shd w:val="clear" w:color="auto" w:fill="CCEEFF"/>
          </w:tcPr>
          <w:p>
            <w:pPr>
              <w:spacing w:after="0"/>
              <w:rPr>
                <w:sz w:val="21"/>
                <w:szCs w:val="21"/>
                <w:color w:val="auto"/>
              </w:rPr>
            </w:pPr>
          </w:p>
        </w:tc>
      </w:tr>
      <w:tr>
        <w:trPr>
          <w:trHeight w:val="241"/>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Right-of-use assets obtained in exchange for operating lease obligations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Pr>
          <w:p>
            <w:pPr>
              <w:spacing w:after="0"/>
              <w:rPr>
                <w:sz w:val="20"/>
                <w:szCs w:val="20"/>
                <w:color w:val="auto"/>
              </w:rPr>
            </w:pPr>
          </w:p>
        </w:tc>
      </w:tr>
      <w:tr>
        <w:trPr>
          <w:trHeight w:val="495"/>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7"/>
        </w:trPr>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 years</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years</w:t>
            </w:r>
          </w:p>
        </w:tc>
      </w:tr>
      <w:tr>
        <w:trPr>
          <w:trHeight w:val="241"/>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4.72 %</w:t>
            </w:r>
          </w:p>
        </w:tc>
      </w:tr>
      <w:tr>
        <w:trPr>
          <w:trHeight w:val="534"/>
        </w:trPr>
        <w:tc>
          <w:tcPr>
            <w:tcW w:w="40" w:type="dxa"/>
            <w:vAlign w:val="bottom"/>
          </w:tcPr>
          <w:p>
            <w:pPr>
              <w:spacing w:after="0"/>
              <w:rPr>
                <w:sz w:val="24"/>
                <w:szCs w:val="24"/>
                <w:color w:val="auto"/>
              </w:rPr>
            </w:pPr>
          </w:p>
        </w:tc>
        <w:tc>
          <w:tcPr>
            <w:tcW w:w="81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The maturities of operating lease liabilities as of December 28, 2024 were as follows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4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5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tcBorders>
            <w:shd w:val="clear" w:color="auto" w:fill="CCEEFF"/>
          </w:tcPr>
          <w:p>
            <w:pPr>
              <w:spacing w:after="0"/>
              <w:rPr>
                <w:sz w:val="21"/>
                <w:szCs w:val="21"/>
                <w:color w:val="auto"/>
              </w:rPr>
            </w:pPr>
          </w:p>
        </w:tc>
        <w:tc>
          <w:tcPr>
            <w:tcW w:w="2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40" w:type="dxa"/>
            <w:vAlign w:val="bottom"/>
          </w:tcPr>
          <w:p>
            <w:pPr>
              <w:spacing w:after="0"/>
              <w:rPr>
                <w:sz w:val="21"/>
                <w:szCs w:val="21"/>
                <w:color w:val="auto"/>
              </w:rPr>
            </w:pPr>
          </w:p>
        </w:tc>
      </w:tr>
      <w:tr>
        <w:trPr>
          <w:trHeight w:val="247"/>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40" w:type="dxa"/>
            <w:vAlign w:val="bottom"/>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40" w:type="dxa"/>
            <w:vAlign w:val="bottom"/>
          </w:tcPr>
          <w:p>
            <w:pPr>
              <w:spacing w:after="0"/>
              <w:rPr>
                <w:sz w:val="22"/>
                <w:szCs w:val="22"/>
                <w:color w:val="auto"/>
              </w:rPr>
            </w:pPr>
          </w:p>
        </w:tc>
      </w:tr>
      <w:tr>
        <w:trPr>
          <w:trHeight w:val="247"/>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40" w:type="dxa"/>
            <w:vAlign w:val="bottom"/>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40" w:type="dxa"/>
            <w:vAlign w:val="bottom"/>
          </w:tcPr>
          <w:p>
            <w:pPr>
              <w:spacing w:after="0"/>
              <w:rPr>
                <w:sz w:val="22"/>
                <w:szCs w:val="22"/>
                <w:color w:val="auto"/>
              </w:rPr>
            </w:pPr>
          </w:p>
        </w:tc>
      </w:tr>
      <w:tr>
        <w:trPr>
          <w:trHeight w:val="247"/>
        </w:trPr>
        <w:tc>
          <w:tcPr>
            <w:tcW w:w="40" w:type="dxa"/>
            <w:vAlign w:val="bottom"/>
          </w:tcPr>
          <w:p>
            <w:pPr>
              <w:spacing w:after="0"/>
              <w:rPr>
                <w:sz w:val="21"/>
                <w:szCs w:val="21"/>
                <w:color w:val="auto"/>
              </w:rPr>
            </w:pP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40" w:type="dxa"/>
            <w:vAlign w:val="bottom"/>
          </w:tcPr>
          <w:p>
            <w:pPr>
              <w:spacing w:after="0"/>
              <w:rPr>
                <w:sz w:val="21"/>
                <w:szCs w:val="21"/>
                <w:color w:val="auto"/>
              </w:rPr>
            </w:pPr>
          </w:p>
        </w:tc>
      </w:tr>
      <w:tr>
        <w:trPr>
          <w:trHeight w:val="253"/>
        </w:trPr>
        <w:tc>
          <w:tcPr>
            <w:tcW w:w="40" w:type="dxa"/>
            <w:vAlign w:val="bottom"/>
          </w:tcPr>
          <w:p>
            <w:pPr>
              <w:spacing w:after="0"/>
              <w:rPr>
                <w:sz w:val="22"/>
                <w:szCs w:val="22"/>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w:t>
            </w:r>
          </w:p>
        </w:tc>
        <w:tc>
          <w:tcPr>
            <w:tcW w:w="40" w:type="dxa"/>
            <w:vAlign w:val="bottom"/>
          </w:tcPr>
          <w:p>
            <w:pPr>
              <w:spacing w:after="0"/>
              <w:rPr>
                <w:sz w:val="22"/>
                <w:szCs w:val="22"/>
                <w:color w:val="auto"/>
              </w:rPr>
            </w:pPr>
          </w:p>
        </w:tc>
      </w:tr>
      <w:tr>
        <w:trPr>
          <w:trHeight w:val="247"/>
        </w:trPr>
        <w:tc>
          <w:tcPr>
            <w:tcW w:w="40" w:type="dxa"/>
            <w:vAlign w:val="bottom"/>
          </w:tcPr>
          <w:p>
            <w:pPr>
              <w:spacing w:after="0"/>
              <w:rPr>
                <w:sz w:val="21"/>
                <w:szCs w:val="21"/>
                <w:color w:val="auto"/>
              </w:rPr>
            </w:pP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40" w:type="dxa"/>
            <w:vAlign w:val="bottom"/>
          </w:tcPr>
          <w:p>
            <w:pPr>
              <w:spacing w:after="0"/>
              <w:rPr>
                <w:sz w:val="21"/>
                <w:szCs w:val="21"/>
                <w:color w:val="auto"/>
              </w:rPr>
            </w:pPr>
          </w:p>
        </w:tc>
      </w:tr>
      <w:tr>
        <w:trPr>
          <w:trHeight w:val="278"/>
        </w:trPr>
        <w:tc>
          <w:tcPr>
            <w:tcW w:w="40" w:type="dxa"/>
            <w:vAlign w:val="bottom"/>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4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income</w:t>
      </w:r>
    </w:p>
    <w:p>
      <w:pPr>
        <w:spacing w:after="0" w:line="222" w:lineRule="exact"/>
        <w:rPr>
          <w:sz w:val="20"/>
          <w:szCs w:val="20"/>
          <w:color w:val="auto"/>
        </w:rPr>
      </w:pPr>
    </w:p>
    <w:p>
      <w:pPr>
        <w:ind w:right="140" w:firstLine="320"/>
        <w:spacing w:after="0" w:line="277" w:lineRule="auto"/>
        <w:rPr>
          <w:sz w:val="20"/>
          <w:szCs w:val="20"/>
          <w:color w:val="auto"/>
        </w:rPr>
      </w:pPr>
      <w:r>
        <w:rPr>
          <w:rFonts w:ascii="Times New Roman" w:cs="Times New Roman" w:eastAsia="Times New Roman" w:hAnsi="Times New Roman"/>
          <w:sz w:val="18"/>
          <w:szCs w:val="18"/>
          <w:color w:val="auto"/>
        </w:rPr>
        <w:t>The Company leases a portion of its headquarter facilities to other tenants. Lease income from operating leases was $2.8 million, $3.1 million and $6.2 million during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9420" w:type="dxa"/>
            <w:vAlign w:val="bottom"/>
          </w:tcPr>
          <w:p>
            <w:pPr>
              <w:jc w:val="center"/>
              <w:ind w:left="1573"/>
              <w:spacing w:after="0"/>
              <w:rPr>
                <w:sz w:val="20"/>
                <w:szCs w:val="20"/>
                <w:color w:val="auto"/>
              </w:rPr>
            </w:pPr>
            <w:r>
              <w:rPr>
                <w:rFonts w:ascii="Times New Roman" w:cs="Times New Roman" w:eastAsia="Times New Roman" w:hAnsi="Times New Roman"/>
                <w:sz w:val="18"/>
                <w:szCs w:val="18"/>
                <w:b w:val="1"/>
                <w:bCs w:val="1"/>
                <w:color w:val="auto"/>
                <w:w w:val="98"/>
              </w:rPr>
              <w:t>Silicon Laboratories Inc.</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9420" w:type="dxa"/>
            <w:vAlign w:val="bottom"/>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8"/>
              </w:rPr>
              <w:t>Notes to Consolidated Financial Statements (Continued)</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80" w:type="dxa"/>
            <w:vAlign w:val="bottom"/>
          </w:tcPr>
          <w:p>
            <w:pPr>
              <w:spacing w:after="0"/>
              <w:rPr>
                <w:sz w:val="20"/>
                <w:szCs w:val="20"/>
                <w:color w:val="auto"/>
              </w:rPr>
            </w:pPr>
          </w:p>
        </w:tc>
        <w:tc>
          <w:tcPr>
            <w:tcW w:w="9420" w:type="dxa"/>
            <w:vAlign w:val="bottom"/>
          </w:tcPr>
          <w:p>
            <w:pPr>
              <w:jc w:val="center"/>
              <w:ind w:left="1573"/>
              <w:spacing w:after="0"/>
              <w:rPr>
                <w:sz w:val="20"/>
                <w:szCs w:val="20"/>
                <w:color w:val="auto"/>
              </w:rPr>
            </w:pPr>
            <w:r>
              <w:rPr>
                <w:rFonts w:ascii="Times New Roman" w:cs="Times New Roman" w:eastAsia="Times New Roman" w:hAnsi="Times New Roman"/>
                <w:sz w:val="18"/>
                <w:szCs w:val="18"/>
                <w:b w:val="1"/>
                <w:bCs w:val="1"/>
                <w:color w:val="auto"/>
                <w:w w:val="98"/>
              </w:rPr>
              <w:t>December 28, 2024</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7"/>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Leases (Continued)</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80" w:type="dxa"/>
            <w:vAlign w:val="bottom"/>
          </w:tcPr>
          <w:p>
            <w:pPr>
              <w:spacing w:after="0"/>
              <w:rPr>
                <w:sz w:val="24"/>
                <w:szCs w:val="24"/>
                <w:color w:val="auto"/>
              </w:rPr>
            </w:pPr>
          </w:p>
        </w:tc>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lease income as of December 28, 2024 were as follows (in thousands):</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8"/>
        </w:trPr>
        <w:tc>
          <w:tcPr>
            <w:tcW w:w="80" w:type="dxa"/>
            <w:vAlign w:val="bottom"/>
          </w:tcPr>
          <w:p>
            <w:pPr>
              <w:spacing w:after="0"/>
              <w:rPr>
                <w:sz w:val="24"/>
                <w:szCs w:val="24"/>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
        </w:trPr>
        <w:tc>
          <w:tcPr>
            <w:tcW w:w="95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80" w:type="dxa"/>
            <w:vAlign w:val="bottom"/>
          </w:tcPr>
          <w:p>
            <w:pPr>
              <w:spacing w:after="0"/>
              <w:rPr>
                <w:sz w:val="21"/>
                <w:szCs w:val="21"/>
                <w:color w:val="auto"/>
              </w:rPr>
            </w:pPr>
          </w:p>
        </w:tc>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top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47"/>
        </w:trPr>
        <w:tc>
          <w:tcPr>
            <w:tcW w:w="9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60"/>
        </w:trPr>
        <w:tc>
          <w:tcPr>
            <w:tcW w:w="80" w:type="dxa"/>
            <w:vAlign w:val="bottom"/>
          </w:tcPr>
          <w:p>
            <w:pPr>
              <w:spacing w:after="0"/>
              <w:rPr>
                <w:sz w:val="22"/>
                <w:szCs w:val="22"/>
                <w:color w:val="auto"/>
              </w:rPr>
            </w:pPr>
          </w:p>
        </w:tc>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7"/>
        </w:trPr>
        <w:tc>
          <w:tcPr>
            <w:tcW w:w="9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60"/>
        </w:trPr>
        <w:tc>
          <w:tcPr>
            <w:tcW w:w="80" w:type="dxa"/>
            <w:vAlign w:val="bottom"/>
          </w:tcPr>
          <w:p>
            <w:pPr>
              <w:spacing w:after="0"/>
              <w:rPr>
                <w:sz w:val="22"/>
                <w:szCs w:val="22"/>
                <w:color w:val="auto"/>
              </w:rPr>
            </w:pPr>
          </w:p>
        </w:tc>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1"/>
        </w:trPr>
        <w:tc>
          <w:tcPr>
            <w:tcW w:w="8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2" w:lineRule="exact"/>
        <w:rPr>
          <w:sz w:val="20"/>
          <w:szCs w:val="20"/>
          <w:color w:val="auto"/>
        </w:rPr>
      </w:pPr>
    </w:p>
    <w:p>
      <w:pPr>
        <w:ind w:right="140" w:firstLine="320"/>
        <w:spacing w:after="0" w:line="277" w:lineRule="auto"/>
        <w:rPr>
          <w:sz w:val="20"/>
          <w:szCs w:val="20"/>
          <w:color w:val="auto"/>
        </w:rPr>
      </w:pPr>
      <w:r>
        <w:rPr>
          <w:rFonts w:ascii="Times New Roman" w:cs="Times New Roman" w:eastAsia="Times New Roman" w:hAnsi="Times New Roman"/>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Repurchases</w:t>
      </w:r>
    </w:p>
    <w:p>
      <w:pPr>
        <w:spacing w:after="0" w:line="224"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The Company repurchased 1.5 million shares and 6.9 million shares of its common stock for $213.0 million and $887.6 million during fiscal 2023 and 2022, respectively. There were no share repurchases in fiscal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224" w:lineRule="exact"/>
        <w:rPr>
          <w:sz w:val="20"/>
          <w:szCs w:val="20"/>
          <w:color w:val="auto"/>
        </w:rPr>
      </w:pPr>
    </w:p>
    <w:p>
      <w:pPr>
        <w:ind w:right="480" w:firstLine="320"/>
        <w:spacing w:after="0" w:line="277" w:lineRule="auto"/>
        <w:rPr>
          <w:sz w:val="20"/>
          <w:szCs w:val="20"/>
          <w:color w:val="auto"/>
        </w:rPr>
      </w:pPr>
      <w:r>
        <w:rPr>
          <w:rFonts w:ascii="Times New Roman" w:cs="Times New Roman" w:eastAsia="Times New Roman" w:hAnsi="Times New Roman"/>
          <w:sz w:val="18"/>
          <w:szCs w:val="18"/>
          <w:color w:val="auto"/>
        </w:rPr>
        <w:t>The Company groups its products as Industrial &amp; Commercial or Home &amp; Life based on the target markets they address. The following represents revenue by product category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&amp; Commercial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573,725</w:t>
            </w:r>
          </w:p>
        </w:tc>
      </w:tr>
      <w:tr>
        <w:trPr>
          <w:trHeight w:val="247"/>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Home &amp; Life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285,680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450,381</w:t>
            </w:r>
          </w:p>
        </w:tc>
      </w:tr>
      <w:tr>
        <w:trPr>
          <w:trHeight w:val="272"/>
        </w:trPr>
        <w:tc>
          <w:tcPr>
            <w:tcW w:w="6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1,024,106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and/or price protection related to the final selling price to the end customers. These factors impact the timing and uncertainty of revenues and cash flows. During fiscal 2024 and 2023, the impact of revenue related to performance obligations that were satisfied in previous reporting periods was insignificant. The Company recognized revenue of $30.1 million during fiscal 2022 from performance obligations that were satisfied in previous reporting periods. The following disaggregates the Company’s revenue by sales channel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28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829,373</w:t>
            </w:r>
          </w:p>
        </w:tc>
      </w:tr>
      <w:tr>
        <w:trPr>
          <w:trHeight w:val="24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194,733</w:t>
            </w:r>
          </w:p>
        </w:tc>
      </w:tr>
      <w:tr>
        <w:trPr>
          <w:trHeight w:val="272"/>
        </w:trPr>
        <w:tc>
          <w:tcPr>
            <w:tcW w:w="6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1,024,106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4" w:lineRule="exact"/>
        <w:rPr>
          <w:sz w:val="20"/>
          <w:szCs w:val="20"/>
          <w:color w:val="auto"/>
        </w:rPr>
      </w:pPr>
    </w:p>
    <w:p>
      <w:pPr>
        <w:ind w:right="460" w:firstLine="320"/>
        <w:spacing w:after="0" w:line="277" w:lineRule="auto"/>
        <w:rPr>
          <w:sz w:val="20"/>
          <w:szCs w:val="20"/>
          <w:color w:val="auto"/>
        </w:rPr>
      </w:pPr>
      <w:r>
        <w:rPr>
          <w:rFonts w:ascii="Times New Roman" w:cs="Times New Roman" w:eastAsia="Times New Roman" w:hAnsi="Times New Roman"/>
          <w:sz w:val="18"/>
          <w:szCs w:val="18"/>
          <w:color w:val="auto"/>
        </w:rPr>
        <w:t>The Company has two active stock plans, the 2009 Stock Incentive Plan (the “2009 Plan”) and the 2009 Employee Stock Purchase Plan (the “2009 ESPP”) that have been amended and approved by shareholders from time to time.</w:t>
      </w:r>
    </w:p>
    <w:p>
      <w:pPr>
        <w:spacing w:after="0" w:line="163" w:lineRule="exact"/>
        <w:rPr>
          <w:sz w:val="20"/>
          <w:szCs w:val="20"/>
          <w:color w:val="auto"/>
        </w:rPr>
      </w:pPr>
    </w:p>
    <w:p>
      <w:pPr>
        <w:ind w:left="640" w:right="20" w:hanging="313"/>
        <w:spacing w:after="0" w:line="251"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Plan allows for grants of stock options, stock appreciation rights, performance shares, performance stock units, restricted stock units (“RSUs”), restricted stock awards (“RSAs”), performance-based stock units (“PSUs”) and other awards (collectively, “awards”). All awards deduct one share from the 2009 Plan shares available for issuance for each share granted. Awards granted under the 2009 Plan contain vesting provisions mostly ranging from three to four years. To the extent awards granted under the 2009 Plan terminate, expire, or lapse for any reason, or are settled in cash, shares subject to such awards will again be available for grant.</w:t>
      </w:r>
    </w:p>
    <w:p>
      <w:pPr>
        <w:spacing w:after="0" w:line="4" w:lineRule="exact"/>
        <w:rPr>
          <w:rFonts w:ascii="Times New Roman" w:cs="Times New Roman" w:eastAsia="Times New Roman" w:hAnsi="Times New Roman"/>
          <w:sz w:val="18"/>
          <w:szCs w:val="18"/>
          <w:color w:val="auto"/>
        </w:rPr>
      </w:pPr>
    </w:p>
    <w:p>
      <w:pPr>
        <w:ind w:left="640" w:right="60" w:hanging="313"/>
        <w:spacing w:after="0" w:line="251"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ESPP allows eligible employees to purchase a limited number of shares of the Company’s common stock at no less than 85% of the fair market value of a share of common stock at prescribed purchase intervals during an offering period. Each offering period is comprised of a series of one or more successive and/or overlapping purchase intervals and has a maximum term of 27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Plan</w:t>
      </w:r>
    </w:p>
    <w:p>
      <w:pPr>
        <w:spacing w:after="0" w:line="222" w:lineRule="exact"/>
        <w:rPr>
          <w:sz w:val="20"/>
          <w:szCs w:val="20"/>
          <w:color w:val="auto"/>
        </w:rPr>
      </w:pPr>
    </w:p>
    <w:p>
      <w:pPr>
        <w:ind w:right="160" w:firstLine="320"/>
        <w:spacing w:after="0" w:line="277" w:lineRule="auto"/>
        <w:rPr>
          <w:sz w:val="20"/>
          <w:szCs w:val="20"/>
          <w:color w:val="auto"/>
        </w:rPr>
      </w:pPr>
      <w:r>
        <w:rPr>
          <w:rFonts w:ascii="Times New Roman" w:cs="Times New Roman" w:eastAsia="Times New Roman" w:hAnsi="Times New Roman"/>
          <w:sz w:val="18"/>
          <w:szCs w:val="18"/>
          <w:color w:val="auto"/>
        </w:rPr>
        <w:t>The Company granted to its employees 0.7 million, 0.5 million and 0.5 million shares of full value awards from the 2009 Plan during fiscal 2024, 2023 and 2022, respectively. Full value awards include RSUs, MSUs, and PSUs.</w:t>
      </w:r>
    </w:p>
    <w:p>
      <w:pPr>
        <w:spacing w:after="0" w:line="163" w:lineRule="exact"/>
        <w:rPr>
          <w:sz w:val="20"/>
          <w:szCs w:val="20"/>
          <w:color w:val="auto"/>
        </w:rPr>
      </w:pPr>
    </w:p>
    <w:p>
      <w:pPr>
        <w:jc w:val="both"/>
        <w:ind w:right="40" w:firstLine="320"/>
        <w:spacing w:after="0" w:line="257" w:lineRule="auto"/>
        <w:rPr>
          <w:sz w:val="20"/>
          <w:szCs w:val="20"/>
          <w:color w:val="auto"/>
        </w:rPr>
      </w:pPr>
      <w:r>
        <w:rPr>
          <w:rFonts w:ascii="Times New Roman" w:cs="Times New Roman" w:eastAsia="Times New Roman" w:hAnsi="Times New Roman"/>
          <w:sz w:val="18"/>
          <w:szCs w:val="18"/>
          <w:color w:val="auto"/>
        </w:rPr>
        <w:t>MSUs provide the rights to acquire a number of shares of common stock for no cash consideration based upon achievement of specified levels of market conditions. The requisite measurement period for these MSUs is also the vesting period, which is generally three years. MSUs granted in 2020 measured the relative performance of the total stockholders’ return of the Company against that of a selected benchmarked group of companies. The Company granted no MSUs in fiscal 2024, 2023 and 2022.</w:t>
      </w:r>
    </w:p>
    <w:p>
      <w:pPr>
        <w:spacing w:after="0" w:line="181" w:lineRule="exact"/>
        <w:rPr>
          <w:sz w:val="20"/>
          <w:szCs w:val="20"/>
          <w:color w:val="auto"/>
        </w:rPr>
      </w:pPr>
    </w:p>
    <w:p>
      <w:pPr>
        <w:ind w:right="60" w:firstLine="320"/>
        <w:spacing w:after="0" w:line="262" w:lineRule="auto"/>
        <w:rPr>
          <w:sz w:val="20"/>
          <w:szCs w:val="20"/>
          <w:color w:val="auto"/>
        </w:rPr>
      </w:pPr>
      <w:r>
        <w:rPr>
          <w:rFonts w:ascii="Times New Roman" w:cs="Times New Roman" w:eastAsia="Times New Roman" w:hAnsi="Times New Roman"/>
          <w:sz w:val="18"/>
          <w:szCs w:val="18"/>
          <w:color w:val="auto"/>
        </w:rPr>
        <w:t>PSUs provide for the rights to acquire a number of shares of common stock for no cash consideration based upon the achievement of specified revenue or profitability objectives during the year. The requisite performance period of these PSUs is approximately three years from the date of grant. The Company granted 95,953, 85,554, and 52,078 PSUs in fiscal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ESPP</w:t>
      </w:r>
    </w:p>
    <w:p>
      <w:pPr>
        <w:spacing w:after="0" w:line="222" w:lineRule="exact"/>
        <w:rPr>
          <w:sz w:val="20"/>
          <w:szCs w:val="20"/>
          <w:color w:val="auto"/>
        </w:rPr>
      </w:pPr>
    </w:p>
    <w:p>
      <w:pPr>
        <w:ind w:right="220" w:firstLine="320"/>
        <w:spacing w:after="0" w:line="253" w:lineRule="auto"/>
        <w:rPr>
          <w:sz w:val="20"/>
          <w:szCs w:val="20"/>
          <w:color w:val="auto"/>
        </w:rPr>
      </w:pPr>
      <w:r>
        <w:rPr>
          <w:rFonts w:ascii="Times New Roman" w:cs="Times New Roman" w:eastAsia="Times New Roman" w:hAnsi="Times New Roman"/>
          <w:sz w:val="18"/>
          <w:szCs w:val="18"/>
          <w:color w:val="auto"/>
        </w:rPr>
        <w:t>The rights to purchase common stock granted under the 2009 ESPP are intended to be treated as either (i) purchase rights granted under an “employee stock purchase plan,” as that term is defined in Section 423(b) of the Internal Revenue Code (the “423(b) Plan”), or (ii) purchase rights granted under an employee stock purchase plan that is not subject to the terms and conditions of Section 423(b) of the Internal Revenue Code (the “Non-423(b) Plan”). The Company will retain the discretion to grant purchase rights under either the 423(b) Plan or the Non-423(b) Plan. During fiscal 2024, 2023 and 2022, the Company issued 173,000, 154,000, and 109,000 shares, respectively, under the 2009 ESPP to its employees. The weighted-average fair value for purchase rights granted in fiscal 2024 under the 2009 ESPP was $32.28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22"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Stock-based compensation costs are based on the fair values on the date of grant for awards under the 2009 Plan, and on the date of enrollment for grants under the 2009 ESPP. The fair values of stock awards (such as RSUs, PSUs and RSAs) are estimated based on their intrinsic values. The fair values of MSUs are estimated using a Monte Carlo simulation. The fair values of stock options and grants under the 2009 ESPP are estimated using the Black-Scholes option-pricing model. The fair values of all such stock-based grants are generally amortized on a straight-line basis over the vesting period of the grants.</w:t>
      </w:r>
    </w:p>
    <w:p>
      <w:pPr>
        <w:spacing w:after="0" w:line="165" w:lineRule="exact"/>
        <w:rPr>
          <w:sz w:val="20"/>
          <w:szCs w:val="20"/>
          <w:color w:val="auto"/>
        </w:rPr>
      </w:pPr>
    </w:p>
    <w:p>
      <w:pPr>
        <w:ind w:right="400" w:firstLine="320"/>
        <w:spacing w:after="0" w:line="277" w:lineRule="auto"/>
        <w:rPr>
          <w:sz w:val="20"/>
          <w:szCs w:val="20"/>
          <w:color w:val="auto"/>
        </w:rPr>
      </w:pPr>
      <w:r>
        <w:rPr>
          <w:rFonts w:ascii="Times New Roman" w:cs="Times New Roman" w:eastAsia="Times New Roman" w:hAnsi="Times New Roman"/>
          <w:sz w:val="18"/>
          <w:szCs w:val="18"/>
          <w:color w:val="auto"/>
        </w:rPr>
        <w:t>The Company estimates potential forfeitures of stock grants and adjusts compensation cost recorded accordingly. The estimate of forfeitures will be adjusted over the requisite service period to the extent that actual forfeitures differ, or are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35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expected to differ, from such estimates. Changes in estimated forfeitures are recognized through a cumulative catch-up adjustment in the period of change and will also impact the amount of stock-based compensation expense to be recognized in future periods.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Consolidated Statements of Operations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4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32,860</w:t>
            </w:r>
          </w:p>
        </w:tc>
      </w:tr>
      <w:tr>
        <w:trPr>
          <w:trHeight w:val="25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r>
      <w:tr>
        <w:trPr>
          <w:trHeight w:val="247"/>
        </w:trPr>
        <w:tc>
          <w:tcPr>
            <w:tcW w:w="6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w:t>
            </w:r>
          </w:p>
        </w:tc>
      </w:tr>
      <w:tr>
        <w:trPr>
          <w:trHeight w:val="25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r>
      <w:tr>
        <w:trPr>
          <w:trHeight w:val="25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41,978</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54,530</w:t>
            </w: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40" w:firstLine="320"/>
        <w:spacing w:after="0" w:line="262" w:lineRule="auto"/>
        <w:rPr>
          <w:sz w:val="20"/>
          <w:szCs w:val="20"/>
          <w:color w:val="auto"/>
        </w:rPr>
      </w:pPr>
      <w:r>
        <w:rPr>
          <w:rFonts w:ascii="Times New Roman" w:cs="Times New Roman" w:eastAsia="Times New Roman" w:hAnsi="Times New Roman"/>
          <w:sz w:val="18"/>
          <w:szCs w:val="18"/>
          <w:color w:val="auto"/>
        </w:rPr>
        <w:t>The Company recorded $0.6 million and $0.6 million of stock-based compensation charges during fiscal 2024 and 2023 respectively, in connection with the modification of certain equity awards. The modifications were pursuant to employee terminations. There were no other significant modifications made to any stock grants during fiscal 2024, 2023 or 2022.</w:t>
      </w:r>
    </w:p>
    <w:p>
      <w:pPr>
        <w:spacing w:after="0" w:line="176"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The Company had approximately $104.3 million of total unrecognized compensation cost related to equity grants as of December 28, 2024 that is expected to be recognized over a weighted-average period of approximately 2.0 years. There were no significant stock-based compensation costs capitalized into assets in any of the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assumptions and stock awards activity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estimated from the Black-Scholes option-pricing model for ESPP shares granted were calculated using the following assumptions: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0" w:type="dxa"/>
            <w:vAlign w:val="bottom"/>
          </w:tcPr>
          <w:p>
            <w:pPr>
              <w:spacing w:after="0"/>
              <w:rPr>
                <w:sz w:val="16"/>
                <w:szCs w:val="16"/>
                <w:color w:val="auto"/>
              </w:rPr>
            </w:pPr>
          </w:p>
        </w:tc>
      </w:tr>
      <w:tr>
        <w:trPr>
          <w:trHeight w:val="25"/>
        </w:trPr>
        <w:tc>
          <w:tcPr>
            <w:tcW w:w="6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5"/>
        </w:trPr>
        <w:tc>
          <w:tcPr>
            <w:tcW w:w="6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0" w:type="dxa"/>
            <w:vAlign w:val="bottom"/>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16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7"/>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7"/>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6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months)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stock-based compensation activity with respect to fiscal 2024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1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(000s)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7"/>
                <w:szCs w:val="17"/>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5"/>
        </w:trPr>
        <w:tc>
          <w:tcPr>
            <w:tcW w:w="5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r>
      <w:tr>
        <w:trPr>
          <w:trHeight w:val="24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r>
      <w:tr>
        <w:trPr>
          <w:trHeight w:val="26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4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at December 28, 2024 and expected to vest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6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28, 2024</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496"/>
        </w:trPr>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24"/>
                <w:szCs w:val="24"/>
                <w:color w:val="auto"/>
              </w:rPr>
            </w:pPr>
          </w:p>
        </w:tc>
        <w:tc>
          <w:tcPr>
            <w:tcW w:w="11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Vesting Term</w:t>
            </w:r>
          </w:p>
        </w:tc>
        <w:tc>
          <w:tcPr>
            <w:tcW w:w="240" w:type="dxa"/>
            <w:vAlign w:val="bottom"/>
          </w:tcPr>
          <w:p>
            <w:pPr>
              <w:spacing w:after="0"/>
              <w:rPr>
                <w:sz w:val="13"/>
                <w:szCs w:val="13"/>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RSAs and RSUs</w:t>
            </w: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(000s)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7"/>
                <w:szCs w:val="17"/>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5"/>
        </w:trPr>
        <w:tc>
          <w:tcPr>
            <w:tcW w:w="5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issued</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123,685</w:t>
            </w:r>
          </w:p>
        </w:tc>
      </w:tr>
      <w:tr>
        <w:trPr>
          <w:trHeight w:val="267"/>
        </w:trPr>
        <w:tc>
          <w:tcPr>
            <w:tcW w:w="530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 and expected to vest</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113,354</w:t>
            </w:r>
          </w:p>
        </w:tc>
      </w:tr>
      <w:tr>
        <w:trPr>
          <w:trHeight w:val="482"/>
        </w:trPr>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24"/>
                <w:szCs w:val="24"/>
                <w:color w:val="auto"/>
              </w:rPr>
            </w:pPr>
          </w:p>
        </w:tc>
        <w:tc>
          <w:tcPr>
            <w:tcW w:w="11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0"/>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Vesting Term</w:t>
            </w:r>
          </w:p>
        </w:tc>
        <w:tc>
          <w:tcPr>
            <w:tcW w:w="240" w:type="dxa"/>
            <w:vAlign w:val="bottom"/>
          </w:tcPr>
          <w:p>
            <w:pPr>
              <w:spacing w:after="0"/>
              <w:rPr>
                <w:sz w:val="13"/>
                <w:szCs w:val="13"/>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PSUs and MSUs</w:t>
            </w:r>
          </w:p>
        </w:tc>
        <w:tc>
          <w:tcPr>
            <w:tcW w:w="9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(000s)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6"/>
                <w:szCs w:val="16"/>
                <w:color w:val="auto"/>
              </w:rPr>
            </w:pPr>
          </w:p>
        </w:tc>
        <w:tc>
          <w:tcPr>
            <w:tcW w:w="11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5"/>
        </w:trPr>
        <w:tc>
          <w:tcPr>
            <w:tcW w:w="5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issued</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Cancelled or forfeited</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w:t>
            </w:r>
          </w:p>
        </w:tc>
      </w:tr>
      <w:tr>
        <w:trPr>
          <w:trHeight w:val="267"/>
        </w:trPr>
        <w:tc>
          <w:tcPr>
            <w:tcW w:w="530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28, 2024 and expected to vest</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Company’s weighted average fair value at the date of grant: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280" w:type="dxa"/>
            <w:vAlign w:val="bottom"/>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grant of RSAs and RSUs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grant of PSUs and MSUs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188.45</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Company’s stock-based payment and stock option values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28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RSUs that vested</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RSUs that vested</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PSUs and MSUs that vested</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of PSUs and MSUs that vested</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21"/>
        </w:trPr>
        <w:tc>
          <w:tcPr>
            <w:tcW w:w="970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As of December 28, 2024, the Company had reserved shares of common stock for future issuance as follows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4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2009 ESPP</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reserved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224"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 contributed $3.0 million, $3.3 million and $3.2 million to the 401(k) Plan during fiscal 2024, 2023 and 2022,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(loss), inclusive of equity-method earnings (loss) and before income taxes, includes the following components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w:t>
            </w:r>
          </w:p>
        </w:tc>
      </w:tr>
      <w:tr>
        <w:trPr>
          <w:trHeight w:val="24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97,764</w:t>
            </w:r>
          </w:p>
        </w:tc>
      </w:tr>
      <w:tr>
        <w:trPr>
          <w:trHeight w:val="272"/>
        </w:trPr>
        <w:tc>
          <w:tcPr>
            <w:tcW w:w="6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3"/>
                <w:szCs w:val="13"/>
                <w:color w:val="auto"/>
              </w:rPr>
            </w:pPr>
          </w:p>
        </w:tc>
        <w:tc>
          <w:tcPr>
            <w:tcW w:w="1420" w:type="dxa"/>
            <w:vAlign w:val="bottom"/>
            <w:gridSpan w:val="4"/>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5"/>
        </w:trPr>
        <w:tc>
          <w:tcPr>
            <w:tcW w:w="6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20" w:type="dxa"/>
            <w:vAlign w:val="bottom"/>
          </w:tcPr>
          <w:p>
            <w:pPr>
              <w:spacing w:after="0"/>
              <w:rPr>
                <w:sz w:val="21"/>
                <w:szCs w:val="21"/>
                <w:color w:val="auto"/>
              </w:rPr>
            </w:pPr>
          </w:p>
        </w:tc>
      </w:tr>
      <w:tr>
        <w:trPr>
          <w:trHeight w:val="254"/>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15,599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0" w:type="dxa"/>
            <w:vAlign w:val="bottom"/>
          </w:tcPr>
          <w:p>
            <w:pPr>
              <w:spacing w:after="0"/>
              <w:rPr>
                <w:sz w:val="22"/>
                <w:szCs w:val="22"/>
                <w:color w:val="auto"/>
              </w:rPr>
            </w:pPr>
          </w:p>
        </w:tc>
      </w:tr>
      <w:tr>
        <w:trPr>
          <w:trHeight w:val="247"/>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56,690</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7"/>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20" w:type="dxa"/>
            <w:vAlign w:val="bottom"/>
          </w:tcPr>
          <w:p>
            <w:pPr>
              <w:spacing w:after="0"/>
              <w:rPr>
                <w:sz w:val="21"/>
                <w:szCs w:val="21"/>
                <w:color w:val="auto"/>
              </w:rPr>
            </w:pPr>
          </w:p>
        </w:tc>
      </w:tr>
      <w:tr>
        <w:trPr>
          <w:trHeight w:val="254"/>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22"/>
                <w:szCs w:val="22"/>
                <w:color w:val="auto"/>
              </w:rPr>
            </w:pPr>
          </w:p>
        </w:tc>
      </w:tr>
      <w:tr>
        <w:trPr>
          <w:trHeight w:val="247"/>
        </w:trPr>
        <w:tc>
          <w:tcPr>
            <w:tcW w:w="6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29,471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20" w:type="dxa"/>
            <w:vAlign w:val="bottom"/>
          </w:tcPr>
          <w:p>
            <w:pPr>
              <w:spacing w:after="0"/>
              <w:rPr>
                <w:sz w:val="21"/>
                <w:szCs w:val="21"/>
                <w:color w:val="auto"/>
              </w:rPr>
            </w:pPr>
          </w:p>
        </w:tc>
      </w:tr>
      <w:tr>
        <w:trPr>
          <w:trHeight w:val="253"/>
        </w:trPr>
        <w:tc>
          <w:tcPr>
            <w:tcW w:w="6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36,197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20" w:type="dxa"/>
            <w:vAlign w:val="bottom"/>
          </w:tcPr>
          <w:p>
            <w:pPr>
              <w:spacing w:after="0"/>
              <w:rPr>
                <w:sz w:val="22"/>
                <w:szCs w:val="22"/>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81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The reconciliation of the federal statutory tax rate to the Company’s effective tax rate is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6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55"/>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5"/>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3"/>
                <w:szCs w:val="13"/>
                <w:color w:val="auto"/>
              </w:rPr>
            </w:pPr>
          </w:p>
        </w:tc>
        <w:tc>
          <w:tcPr>
            <w:tcW w:w="1420" w:type="dxa"/>
            <w:vAlign w:val="bottom"/>
            <w:gridSpan w:val="4"/>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5"/>
        </w:trPr>
        <w:tc>
          <w:tcPr>
            <w:tcW w:w="6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4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rate benefit</w:t>
            </w:r>
          </w:p>
        </w:tc>
        <w:tc>
          <w:tcPr>
            <w:tcW w:w="2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valuation allowance</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prior period valuation allowance</w:t>
            </w:r>
          </w:p>
        </w:tc>
        <w:tc>
          <w:tcPr>
            <w:tcW w:w="2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GILTI and Subpart F income, net of foreign tax credits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22"/>
                <w:szCs w:val="22"/>
                <w:color w:val="auto"/>
              </w:rPr>
            </w:pP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nontaxable foreign items</w:t>
            </w:r>
          </w:p>
        </w:tc>
        <w:tc>
          <w:tcPr>
            <w:tcW w:w="2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nontaxable domestic items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22"/>
                <w:szCs w:val="22"/>
                <w:color w:val="auto"/>
              </w:rPr>
            </w:pP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2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2"/>
                <w:szCs w:val="22"/>
                <w:color w:val="auto"/>
              </w:rPr>
            </w:pP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expense</w:t>
            </w:r>
          </w:p>
        </w:tc>
        <w:tc>
          <w:tcPr>
            <w:tcW w:w="200" w:type="dxa"/>
            <w:vAlign w:val="bottom"/>
          </w:tcPr>
          <w:p>
            <w:pPr>
              <w:spacing w:after="0"/>
              <w:rPr>
                <w:sz w:val="21"/>
                <w:szCs w:val="21"/>
                <w:color w:val="auto"/>
              </w:rPr>
            </w:pPr>
          </w:p>
        </w:tc>
        <w:tc>
          <w:tcPr>
            <w:tcW w:w="13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2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 effects of equity compensation</w:t>
            </w:r>
          </w:p>
        </w:tc>
        <w:tc>
          <w:tcPr>
            <w:tcW w:w="20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2"/>
                <w:szCs w:val="22"/>
                <w:color w:val="auto"/>
              </w:rPr>
            </w:pP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tax benefit of stock-based compensation</w:t>
            </w:r>
          </w:p>
        </w:tc>
        <w:tc>
          <w:tcPr>
            <w:tcW w:w="20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r>
      <w:tr>
        <w:trPr>
          <w:trHeight w:val="26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prior year unrecognized tax benefits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2"/>
                <w:szCs w:val="22"/>
                <w:color w:val="auto"/>
              </w:rPr>
            </w:pP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r>
      <w:tr>
        <w:trPr>
          <w:trHeight w:val="25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auto"/>
            </w:tcBorders>
            <w:shd w:val="clear" w:color="auto" w:fill="CCEEFF"/>
          </w:tcPr>
          <w:p>
            <w:pPr>
              <w:spacing w:after="0"/>
              <w:rPr>
                <w:sz w:val="22"/>
                <w:szCs w:val="22"/>
                <w:color w:val="auto"/>
              </w:rPr>
            </w:pPr>
          </w:p>
        </w:tc>
      </w:tr>
      <w:tr>
        <w:trPr>
          <w:trHeight w:val="25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r>
      <w:tr>
        <w:trPr>
          <w:trHeight w:val="20"/>
        </w:trPr>
        <w:tc>
          <w:tcPr>
            <w:tcW w:w="6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The increase in the provision for income taxes for fiscal 2024 as compared to fiscal 2023 was primarily due to the establishment of a valuation allowance against the majority of the Company’s U.S. and Singapore deferred tax assets during the second quarter of fiscal 2024. The decrease in the provision for income taxes for fiscal 2023 was primarily due to decreases in pre-tax book income and global intangible low-taxed income inclusions as compared to fiscal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The Tax Cuts and Jobs Act (the “Act”) was enacted on December 22, 2017. Under the Act, research and experimental expenditures incurred for tax years beginning after December 31, 2021 must be capitalized and amortized ratably over five or fifteen years for tax purposes, depending on where the research activities are conducted. The Company has elected to treat global intangible low-taxed income (“GILTI”) as a period cost, so the capitalization of research and experimental costs in GILTI increases the Company’s provision for income taxes.</w:t>
      </w:r>
    </w:p>
    <w:p>
      <w:pPr>
        <w:spacing w:after="0" w:line="181"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Additionally, the Act required companies to pay a one-time transition tax on the earnings of certain foreign subsidiaries that were previously deferred from U.S. income tax under U.S. tax law. The Company elected to pay the transition tax over the eight-year period provided in the Act. As of December 28, 2024, the unpaid balance of its transition tax obligation was $7.9 million, which is payable in April 2025 and recorded as a component of other current liabilities in the Consolidated Balance Sheet.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4" w:lineRule="exact"/>
        <w:rPr>
          <w:sz w:val="20"/>
          <w:szCs w:val="20"/>
          <w:color w:val="auto"/>
        </w:rPr>
      </w:pPr>
    </w:p>
    <w:p>
      <w:pPr>
        <w:ind w:right="180" w:firstLine="320"/>
        <w:spacing w:after="0" w:line="307" w:lineRule="auto"/>
        <w:rPr>
          <w:sz w:val="20"/>
          <w:szCs w:val="20"/>
          <w:color w:val="auto"/>
        </w:rPr>
      </w:pPr>
      <w:r>
        <w:rPr>
          <w:rFonts w:ascii="Times New Roman" w:cs="Times New Roman" w:eastAsia="Times New Roman" w:hAnsi="Times New Roman"/>
          <w:sz w:val="17"/>
          <w:szCs w:val="17"/>
          <w:color w:val="auto"/>
        </w:rPr>
        <w:t>Deferred tax assets and liabilities are recorded for the estimated tax impact of temporary differences between the tax basis and book basis of assets and liabilities. Significant components of the Company’s deferred taxes as of December 28, 2024 and December 30, 2023 were as follows (in thousands):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6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47"/>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5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47"/>
        </w:trPr>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73,784</w:t>
            </w:r>
          </w:p>
        </w:tc>
      </w:tr>
      <w:tr>
        <w:trPr>
          <w:trHeight w:val="254"/>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47"/>
        </w:trPr>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63,254</w:t>
            </w:r>
          </w:p>
        </w:tc>
      </w:tr>
      <w:tr>
        <w:trPr>
          <w:trHeight w:val="273"/>
        </w:trPr>
        <w:tc>
          <w:tcPr>
            <w:tcW w:w="7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247"/>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6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33,041</w:t>
            </w:r>
          </w:p>
        </w:tc>
      </w:tr>
      <w:tr>
        <w:trPr>
          <w:trHeight w:val="278"/>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120" w:firstLine="320"/>
        <w:spacing w:after="0" w:line="262" w:lineRule="auto"/>
        <w:rPr>
          <w:sz w:val="20"/>
          <w:szCs w:val="20"/>
          <w:color w:val="auto"/>
        </w:rPr>
      </w:pPr>
      <w:r>
        <w:rPr>
          <w:rFonts w:ascii="Times New Roman" w:cs="Times New Roman" w:eastAsia="Times New Roman" w:hAnsi="Times New Roman"/>
          <w:sz w:val="18"/>
          <w:szCs w:val="18"/>
          <w:color w:val="auto"/>
        </w:rPr>
        <w:t>As of December 28, 2024, the Company had foreign net operating loss and research and development tax credit carryforwards of approximately $172.6 million and $0.4 million, respectively. The foreign net operating loss carryforward does not expire. The foreign research and development tax credits expire in fiscal years 2043 through 2044.</w:t>
      </w:r>
    </w:p>
    <w:p>
      <w:pPr>
        <w:spacing w:after="0" w:line="176"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8"/>
          <w:szCs w:val="18"/>
          <w:color w:val="auto"/>
        </w:rPr>
        <w:t>As of December 28, 2024, the Company had U.S. federal net operating loss, research and development tax credit and foreign tax credit carryforwards of approximately $10.2 million, $7.3 million and $3.7 million, respectively. All of the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operating loss and $1.1 million of the research and development tax credit carryforwards are subject to an annual limit, which may cause them to expire before they are used. The net operating loss and research and development tax credit carryforwards that are subject to limitation expire in fiscal years 2026 through 2031, the remaining research and development tax credit carryforwards expire in fiscal year 2044, and the foreign tax credit carryforwards expire in fiscal years 2033 through 2034.</w:t>
      </w:r>
    </w:p>
    <w:p>
      <w:pPr>
        <w:spacing w:after="0" w:line="181" w:lineRule="exact"/>
        <w:rPr>
          <w:sz w:val="20"/>
          <w:szCs w:val="20"/>
          <w:color w:val="auto"/>
        </w:rPr>
      </w:pPr>
    </w:p>
    <w:p>
      <w:pPr>
        <w:jc w:val="both"/>
        <w:ind w:right="120" w:firstLine="320"/>
        <w:spacing w:after="0" w:line="262" w:lineRule="auto"/>
        <w:rPr>
          <w:sz w:val="20"/>
          <w:szCs w:val="20"/>
          <w:color w:val="auto"/>
        </w:rPr>
      </w:pPr>
      <w:r>
        <w:rPr>
          <w:rFonts w:ascii="Times New Roman" w:cs="Times New Roman" w:eastAsia="Times New Roman" w:hAnsi="Times New Roman"/>
          <w:sz w:val="18"/>
          <w:szCs w:val="18"/>
          <w:color w:val="auto"/>
        </w:rPr>
        <w:t>Additionally, the Company had state net operating loss and state research and development tax credit carryforwards of approximately $34.7 million and $13.7 million, respectively. Certain of these carryforwards expire in fiscal years 2025 through 2044, and others do not expire. Recognition of some of these loss and credit carryforwards is subject to an annual limit, which may cause them to expire before they are used.</w:t>
      </w:r>
    </w:p>
    <w:p>
      <w:pPr>
        <w:spacing w:after="0" w:line="176"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A valuation allowance is established against a deferred tax asset when it is more likely than not that the deferred tax asset will not be realized. The Company maintains a valuation allowance with respect to the majority of deferred tax assets in the U.S. and Singapore and with respect to research and development tax credit carryforwards in Canada. In the three months ended June 29, 2024, the Company determined that there is a need for a valuation allowance in the U.S. and Singapore due to a forecasted three-year cumulative pre-tax loss for the current and two preceding years in conjunction with the recent downturn in the semiconductor industry. The company intends to maintain the valuation allowance until sufficient future sources of taxable income are forecasted to realize the benefit of the deferred tax assets. The following table summarizes the activity related to the valuation allowance for deferred tax assets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60"/>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87"/>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6"/>
                <w:szCs w:val="16"/>
                <w:color w:val="auto"/>
              </w:rPr>
            </w:pPr>
          </w:p>
        </w:tc>
        <w:tc>
          <w:tcPr>
            <w:tcW w:w="12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25"/>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60,760</w:t>
            </w:r>
          </w:p>
        </w:tc>
      </w:tr>
      <w:tr>
        <w:trPr>
          <w:trHeight w:val="267"/>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67"/>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gross unrecognized tax benefits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6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as a result of a lapse of the applicable statute of limitations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5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40" w:firstLine="320"/>
        <w:spacing w:after="0" w:line="262" w:lineRule="auto"/>
        <w:rPr>
          <w:sz w:val="20"/>
          <w:szCs w:val="20"/>
          <w:color w:val="auto"/>
        </w:rPr>
      </w:pPr>
      <w:r>
        <w:rPr>
          <w:rFonts w:ascii="Times New Roman" w:cs="Times New Roman" w:eastAsia="Times New Roman" w:hAnsi="Times New Roman"/>
          <w:sz w:val="18"/>
          <w:szCs w:val="18"/>
          <w:color w:val="auto"/>
        </w:rPr>
        <w:t>As of December 28, 2024, December 30, 2023 and December 31, 2022, the Company had gross unrecognized tax benefits, inclusive of interest, of $4.7 million, $5.4 million and $4.4 million, respectively, of which $3.5 million, $5.1 million and $4.4 million, respectively, would affect the effective tax rate if recognized.</w:t>
      </w:r>
    </w:p>
    <w:p>
      <w:pPr>
        <w:spacing w:after="0" w:line="176"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These amounts were not material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357" w:lineRule="exact"/>
        <w:rPr>
          <w:sz w:val="20"/>
          <w:szCs w:val="20"/>
          <w:color w:val="auto"/>
        </w:rPr>
      </w:pPr>
    </w:p>
    <w:p>
      <w:pPr>
        <w:ind w:right="200" w:firstLine="320"/>
        <w:spacing w:after="0" w:line="252" w:lineRule="auto"/>
        <w:rPr>
          <w:sz w:val="20"/>
          <w:szCs w:val="20"/>
          <w:color w:val="auto"/>
        </w:rPr>
      </w:pPr>
      <w:r>
        <w:rPr>
          <w:rFonts w:ascii="Times New Roman" w:cs="Times New Roman" w:eastAsia="Times New Roman" w:hAnsi="Times New Roman"/>
          <w:sz w:val="18"/>
          <w:szCs w:val="18"/>
          <w:color w:val="auto"/>
        </w:rPr>
        <w:t>Following the completion of the Norwegian Tax Administration (“NTA”) examination of the Company’s Norwegian subsidiary for income tax matters relating to fiscal years 2013 – 2016, the Company received an assessment from the NTA in December 2017 concerning an adjustment to its 2013 taxable income related to the pricing of an intercompany transaction. The Company is currently appealing the assessment. The adjustment to the pricing of the intercompany transaction results in approximately 141.3 million Norwegian kroner, or $12.4 million, additional Norwegian income tax. The Company disagrees with the NTA’s assessment and believes the Company’s position on this matter is more likely than not to be sustained. The Company plans to exhaust all available administrative remedies, and if unable to resolve this matter through administrative remedies with the NTA, the Company plans to pursue judicial remedies.</w:t>
      </w:r>
    </w:p>
    <w:p>
      <w:pPr>
        <w:spacing w:after="0" w:line="187" w:lineRule="exact"/>
        <w:rPr>
          <w:sz w:val="20"/>
          <w:szCs w:val="20"/>
          <w:color w:val="auto"/>
        </w:rPr>
      </w:pPr>
    </w:p>
    <w:p>
      <w:pPr>
        <w:ind w:right="300" w:firstLine="320"/>
        <w:spacing w:after="0" w:line="277" w:lineRule="auto"/>
        <w:rPr>
          <w:sz w:val="20"/>
          <w:szCs w:val="20"/>
          <w:color w:val="auto"/>
        </w:rPr>
      </w:pPr>
      <w:r>
        <w:rPr>
          <w:rFonts w:ascii="Times New Roman" w:cs="Times New Roman" w:eastAsia="Times New Roman" w:hAnsi="Times New Roman"/>
          <w:sz w:val="18"/>
          <w:szCs w:val="18"/>
          <w:color w:val="auto"/>
        </w:rPr>
        <w:t>The Company believes that it has accrued adequate reserves related to all matters contained in tax periods open to examination. Should the Company experience an unfavorable outcome in the NTA matter, however, such an outcome could have a material impact on its financial statements.</w:t>
      </w:r>
    </w:p>
    <w:p>
      <w:pPr>
        <w:spacing w:after="0" w:line="163"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Tax years 2019 through 2024 remain open to examination by the major taxing jurisdictions in which the Company operates. The Company’s 2021 and 2022 tax years are currently under examination in India. Although the outcome of tax audits is always uncertain, the Company believes that the results of the examination will not materially impact its financial position or results of operations. The Company is not currently under audit in any other major taxing jurisdiction.</w:t>
      </w:r>
    </w:p>
    <w:p>
      <w:pPr>
        <w:spacing w:after="0" w:line="181"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The Company believes it is reasonably possible that its gross unrecognized benefits will decrease by approximately $1.7 million, inclusive of interest, in the next 12 months due to the lapse of the statute of limitations.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Company has one operating segment, mixed-signal analog intensive products, consisting of numerous product areas. The Company’s chief operating decision maker (“CODM”) is its Chief Executive Officer. The CODM allocates resources and assesses performance of the business and other activities at the operating segment level. The CODM assesses performance for the operating segment and decides how to allocate resources based on net income (loss) that is also reported on the Consolidated Statement of Operations as Consolidated Net income (loss). The measure of segment assets is reported on the Consolidated Balance Sheets as Total assets.</w:t>
      </w:r>
    </w:p>
    <w:p>
      <w:pPr>
        <w:spacing w:after="0" w:line="186" w:lineRule="exact"/>
        <w:rPr>
          <w:sz w:val="20"/>
          <w:szCs w:val="20"/>
          <w:color w:val="auto"/>
        </w:rPr>
      </w:pPr>
    </w:p>
    <w:p>
      <w:pPr>
        <w:jc w:val="both"/>
        <w:ind w:right="140" w:firstLine="320"/>
        <w:spacing w:after="0" w:line="257" w:lineRule="auto"/>
        <w:rPr>
          <w:sz w:val="20"/>
          <w:szCs w:val="20"/>
          <w:color w:val="auto"/>
        </w:rPr>
      </w:pPr>
      <w:r>
        <w:rPr>
          <w:rFonts w:ascii="Times New Roman" w:cs="Times New Roman" w:eastAsia="Times New Roman" w:hAnsi="Times New Roman"/>
          <w:sz w:val="18"/>
          <w:szCs w:val="18"/>
          <w:color w:val="auto"/>
        </w:rPr>
        <w:t>The CODM uses net income (loss) to evaluate income generated in deciding whether to reinvest profits into the segment or to use such profits for other purposes, such as for acquisitions or share repurchases. Net income (loss) is used to monitor budget versus actual results. The CODM also uses net income (loss) in competitive analyses by benchmarking to the Company’s competitors. The competitive analysis along with the monitoring of budget versus actual results are used in assessing performance of the segment, and in establishing management and variable compensation.</w:t>
      </w:r>
    </w:p>
    <w:p>
      <w:pPr>
        <w:spacing w:after="0" w:line="179" w:lineRule="exact"/>
        <w:rPr>
          <w:sz w:val="20"/>
          <w:szCs w:val="20"/>
          <w:color w:val="auto"/>
        </w:rPr>
      </w:pPr>
    </w:p>
    <w:p>
      <w:pPr>
        <w:ind w:right="840" w:firstLine="320"/>
        <w:spacing w:after="0" w:line="279" w:lineRule="auto"/>
        <w:rPr>
          <w:sz w:val="20"/>
          <w:szCs w:val="20"/>
          <w:color w:val="auto"/>
        </w:rPr>
      </w:pPr>
      <w:r>
        <w:rPr>
          <w:rFonts w:ascii="Times New Roman" w:cs="Times New Roman" w:eastAsia="Times New Roman" w:hAnsi="Times New Roman"/>
          <w:sz w:val="18"/>
          <w:szCs w:val="18"/>
          <w:color w:val="auto"/>
        </w:rPr>
        <w:t xml:space="preserve">The Company groups its products into two categories, based on the target markets they address. See Note 13,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a summary of the Company’s revenue by product category.</w:t>
      </w:r>
    </w:p>
    <w:p>
      <w:pPr>
        <w:spacing w:after="0" w:line="161"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Revenue is attributed to a geographic area based on the shipped-to location. The following summarizes the Company’s revenue by geographic area (in thousands):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5"/>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13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6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176,379</w:t>
            </w:r>
          </w:p>
        </w:tc>
      </w:tr>
      <w:tr>
        <w:trPr>
          <w:trHeight w:val="24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334,821</w:t>
            </w:r>
          </w:p>
        </w:tc>
      </w:tr>
      <w:tr>
        <w:trPr>
          <w:trHeight w:val="26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105,602</w:t>
            </w:r>
          </w:p>
        </w:tc>
      </w:tr>
      <w:tr>
        <w:trPr>
          <w:trHeight w:val="24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379,585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407,304</w:t>
            </w:r>
          </w:p>
        </w:tc>
      </w:tr>
      <w:tr>
        <w:trPr>
          <w:trHeight w:val="27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1,024,106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 (Continued)</w:t>
      </w:r>
    </w:p>
    <w:p>
      <w:pPr>
        <w:spacing w:after="0" w:line="357" w:lineRule="exact"/>
        <w:rPr>
          <w:sz w:val="20"/>
          <w:szCs w:val="20"/>
          <w:color w:val="auto"/>
        </w:rPr>
      </w:pPr>
    </w:p>
    <w:p>
      <w:pPr>
        <w:jc w:val="both"/>
        <w:ind w:right="160" w:firstLine="320"/>
        <w:spacing w:after="0" w:line="262" w:lineRule="auto"/>
        <w:rPr>
          <w:sz w:val="20"/>
          <w:szCs w:val="20"/>
          <w:color w:val="auto"/>
        </w:rPr>
      </w:pPr>
      <w:r>
        <w:rPr>
          <w:rFonts w:ascii="Times New Roman" w:cs="Times New Roman" w:eastAsia="Times New Roman" w:hAnsi="Times New Roman"/>
          <w:sz w:val="18"/>
          <w:szCs w:val="18"/>
          <w:color w:val="auto"/>
        </w:rPr>
        <w:t>The CODM regularly reviews the Consolidated Statement of Operations and a disaggregation of operating expenses, of which the significant expenses are related to employee base compensation. Other segment items include other personnel-related expenses, outside services, software expense, depreciation and amortization of intangible assets, and other expenses. The following summarizes the significant and other 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5"/>
        </w:trPr>
        <w:tc>
          <w:tcPr>
            <w:tcW w:w="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4"/>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179,438</w:t>
            </w:r>
          </w:p>
        </w:tc>
        <w:tc>
          <w:tcPr>
            <w:tcW w:w="40" w:type="dxa"/>
            <w:vAlign w:val="bottom"/>
          </w:tcPr>
          <w:p>
            <w:pPr>
              <w:spacing w:after="0"/>
              <w:rPr>
                <w:sz w:val="22"/>
                <w:szCs w:val="22"/>
                <w:color w:val="auto"/>
              </w:rPr>
            </w:pPr>
          </w:p>
        </w:tc>
        <w:tc>
          <w:tcPr>
            <w:tcW w:w="3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164,255</w:t>
            </w:r>
          </w:p>
        </w:tc>
        <w:tc>
          <w:tcPr>
            <w:tcW w:w="40" w:type="dxa"/>
            <w:vAlign w:val="bottom"/>
          </w:tcPr>
          <w:p>
            <w:pPr>
              <w:spacing w:after="0"/>
              <w:rPr>
                <w:sz w:val="22"/>
                <w:szCs w:val="22"/>
                <w:color w:val="auto"/>
              </w:rPr>
            </w:pPr>
          </w:p>
        </w:tc>
      </w:tr>
      <w:tr>
        <w:trPr>
          <w:trHeight w:val="267"/>
        </w:trPr>
        <w:tc>
          <w:tcPr>
            <w:tcW w:w="40" w:type="dxa"/>
            <w:vAlign w:val="bottom"/>
            <w:shd w:val="clear" w:color="auto" w:fill="CCEEFF"/>
          </w:tcPr>
          <w:p>
            <w:pPr>
              <w:spacing w:after="0"/>
              <w:rPr>
                <w:sz w:val="23"/>
                <w:szCs w:val="23"/>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segment items</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359,042</w:t>
            </w:r>
          </w:p>
        </w:tc>
        <w:tc>
          <w:tcPr>
            <w:tcW w:w="40" w:type="dxa"/>
            <w:vAlign w:val="bottom"/>
            <w:tcBorders>
              <w:bottom w:val="single" w:sz="8" w:color="auto"/>
            </w:tcBorders>
            <w:shd w:val="clear" w:color="auto" w:fill="CCEEFF"/>
          </w:tcPr>
          <w:p>
            <w:pPr>
              <w:spacing w:after="0"/>
              <w:rPr>
                <w:sz w:val="23"/>
                <w:szCs w:val="23"/>
                <w:color w:val="auto"/>
              </w:rPr>
            </w:pPr>
          </w:p>
        </w:tc>
      </w:tr>
      <w:tr>
        <w:trPr>
          <w:trHeight w:val="25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477,678</w:t>
            </w:r>
          </w:p>
        </w:tc>
        <w:tc>
          <w:tcPr>
            <w:tcW w:w="80" w:type="dxa"/>
            <w:vAlign w:val="bottom"/>
            <w:gridSpan w:val="2"/>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484,740</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523,297</w:t>
            </w:r>
          </w:p>
        </w:tc>
        <w:tc>
          <w:tcPr>
            <w:tcW w:w="40" w:type="dxa"/>
            <w:vAlign w:val="bottom"/>
            <w:tcBorders>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8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following summarizes the Company’s property and equipment, net by geographic area (in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2"/>
        </w:trPr>
        <w:tc>
          <w:tcPr>
            <w:tcW w:w="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116,357</w:t>
            </w:r>
          </w:p>
        </w:tc>
        <w:tc>
          <w:tcPr>
            <w:tcW w:w="40" w:type="dxa"/>
            <w:vAlign w:val="bottom"/>
          </w:tcPr>
          <w:p>
            <w:pPr>
              <w:spacing w:after="0"/>
              <w:rPr>
                <w:sz w:val="21"/>
                <w:szCs w:val="21"/>
                <w:color w:val="auto"/>
              </w:rPr>
            </w:pPr>
          </w:p>
        </w:tc>
      </w:tr>
      <w:tr>
        <w:trPr>
          <w:trHeight w:val="247"/>
        </w:trPr>
        <w:tc>
          <w:tcPr>
            <w:tcW w:w="40" w:type="dxa"/>
            <w:vAlign w:val="bottom"/>
          </w:tcPr>
          <w:p>
            <w:pPr>
              <w:spacing w:after="0"/>
              <w:rPr>
                <w:sz w:val="21"/>
                <w:szCs w:val="21"/>
                <w:color w:val="auto"/>
              </w:rPr>
            </w:pPr>
          </w:p>
        </w:tc>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40" w:type="dxa"/>
            <w:vAlign w:val="bottom"/>
          </w:tcPr>
          <w:p>
            <w:pPr>
              <w:spacing w:after="0"/>
              <w:rPr>
                <w:sz w:val="21"/>
                <w:szCs w:val="21"/>
                <w:color w:val="auto"/>
              </w:rPr>
            </w:pPr>
          </w:p>
        </w:tc>
      </w:tr>
      <w:tr>
        <w:trPr>
          <w:trHeight w:val="273"/>
        </w:trPr>
        <w:tc>
          <w:tcPr>
            <w:tcW w:w="40" w:type="dxa"/>
            <w:vAlign w:val="bottom"/>
          </w:tcPr>
          <w:p>
            <w:pPr>
              <w:spacing w:after="0"/>
              <w:rPr>
                <w:sz w:val="23"/>
                <w:szCs w:val="23"/>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4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145,890</w:t>
            </w:r>
          </w:p>
        </w:tc>
        <w:tc>
          <w:tcPr>
            <w:tcW w:w="4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Activities</w:t>
      </w:r>
    </w:p>
    <w:p>
      <w:pPr>
        <w:spacing w:after="0" w:line="224" w:lineRule="exact"/>
        <w:rPr>
          <w:sz w:val="20"/>
          <w:szCs w:val="20"/>
          <w:color w:val="auto"/>
        </w:rPr>
      </w:pPr>
    </w:p>
    <w:p>
      <w:pPr>
        <w:ind w:right="20" w:firstLine="320"/>
        <w:spacing w:after="0" w:line="262" w:lineRule="auto"/>
        <w:rPr>
          <w:sz w:val="20"/>
          <w:szCs w:val="20"/>
          <w:color w:val="auto"/>
        </w:rPr>
      </w:pPr>
      <w:r>
        <w:rPr>
          <w:rFonts w:ascii="Times New Roman" w:cs="Times New Roman" w:eastAsia="Times New Roman" w:hAnsi="Times New Roman"/>
          <w:sz w:val="18"/>
          <w:szCs w:val="18"/>
          <w:color w:val="auto"/>
        </w:rPr>
        <w:t>During 2023, the Company implemented a workforce reduction of approximately 10% of its employees to reduce costs and align its business in response to market conditions. The Company incurred total employee separation costs of $10.0 million and non-cash charges for the accelerated vesting of certain equity awards of approximately $0.6 million. All employee separation costs were paid by the fourth quarter of fiscal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60960</wp:posOffset>
            </wp:positionV>
            <wp:extent cx="2854960" cy="1059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85496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50"/>
          <w:szCs w:val="50"/>
          <w:b w:val="1"/>
          <w:bCs w:val="1"/>
          <w:color w:val="0F60FD"/>
        </w:rPr>
        <w:t>Insider Trading Policy</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33333"/>
        </w:rPr>
        <w:t>10.29.2024 Version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13970</wp:posOffset>
            </wp:positionV>
            <wp:extent cx="53206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5320665" cy="8255"/>
                    </a:xfrm>
                    <a:prstGeom prst="rect">
                      <a:avLst/>
                    </a:prstGeom>
                    <a:noFill/>
                  </pic:spPr>
                </pic:pic>
              </a:graphicData>
            </a:graphic>
          </wp:anchor>
        </w:drawing>
      </w:r>
    </w:p>
    <w:p>
      <w:pPr>
        <w:spacing w:after="0" w:line="366" w:lineRule="exact"/>
        <w:rPr>
          <w:sz w:val="20"/>
          <w:szCs w:val="20"/>
          <w:color w:val="auto"/>
        </w:rPr>
      </w:pPr>
    </w:p>
    <w:p>
      <w:pPr>
        <w:ind w:left="100" w:right="160"/>
        <w:spacing w:after="0" w:line="289" w:lineRule="auto"/>
        <w:rPr>
          <w:sz w:val="20"/>
          <w:szCs w:val="20"/>
          <w:color w:val="auto"/>
        </w:rPr>
      </w:pPr>
      <w:r>
        <w:rPr>
          <w:rFonts w:ascii="Arial" w:cs="Arial" w:eastAsia="Arial" w:hAnsi="Arial"/>
          <w:sz w:val="25"/>
          <w:szCs w:val="25"/>
          <w:color w:val="333333"/>
        </w:rPr>
        <w:t>Silicon Laboratories Inc. (the “</w:t>
      </w:r>
      <w:r>
        <w:rPr>
          <w:rFonts w:ascii="Arial" w:cs="Arial" w:eastAsia="Arial" w:hAnsi="Arial"/>
          <w:sz w:val="25"/>
          <w:szCs w:val="25"/>
          <w:b w:val="1"/>
          <w:bCs w:val="1"/>
          <w:i w:val="1"/>
          <w:iCs w:val="1"/>
          <w:color w:val="333333"/>
        </w:rPr>
        <w:t>Company</w:t>
      </w:r>
      <w:r>
        <w:rPr>
          <w:rFonts w:ascii="Arial" w:cs="Arial" w:eastAsia="Arial" w:hAnsi="Arial"/>
          <w:sz w:val="25"/>
          <w:szCs w:val="25"/>
          <w:color w:val="333333"/>
        </w:rPr>
        <w:t>”) has adopted this Insider Trading Policy (the “</w:t>
      </w:r>
      <w:r>
        <w:rPr>
          <w:rFonts w:ascii="Arial" w:cs="Arial" w:eastAsia="Arial" w:hAnsi="Arial"/>
          <w:sz w:val="25"/>
          <w:szCs w:val="25"/>
          <w:b w:val="1"/>
          <w:bCs w:val="1"/>
          <w:i w:val="1"/>
          <w:iCs w:val="1"/>
          <w:color w:val="333333"/>
        </w:rPr>
        <w:t>Policy</w:t>
      </w:r>
      <w:r>
        <w:rPr>
          <w:rFonts w:ascii="Arial" w:cs="Arial" w:eastAsia="Arial" w:hAnsi="Arial"/>
          <w:sz w:val="25"/>
          <w:szCs w:val="25"/>
          <w:color w:val="333333"/>
        </w:rPr>
        <w:t xml:space="preserve">”) to promote compliance with securities laws and to protect the Company, as well as the persons covered by the Policy, from the very serious liabilities and penalties that can result from violations of these laws. </w:t>
      </w:r>
      <w:r>
        <w:rPr>
          <w:rFonts w:ascii="Arial" w:cs="Arial" w:eastAsia="Arial" w:hAnsi="Arial"/>
          <w:sz w:val="25"/>
          <w:szCs w:val="25"/>
          <w:b w:val="1"/>
          <w:bCs w:val="1"/>
          <w:color w:val="333333"/>
        </w:rPr>
        <w:t>Regardless of any action taken or not taken by the Company, each person is</w:t>
      </w:r>
      <w:r>
        <w:rPr>
          <w:rFonts w:ascii="Arial" w:cs="Arial" w:eastAsia="Arial" w:hAnsi="Arial"/>
          <w:sz w:val="25"/>
          <w:szCs w:val="25"/>
          <w:color w:val="333333"/>
        </w:rPr>
        <w:t xml:space="preserve"> </w:t>
      </w:r>
      <w:r>
        <w:rPr>
          <w:rFonts w:ascii="Arial" w:cs="Arial" w:eastAsia="Arial" w:hAnsi="Arial"/>
          <w:sz w:val="25"/>
          <w:szCs w:val="25"/>
          <w:b w:val="1"/>
          <w:bCs w:val="1"/>
          <w:color w:val="333333"/>
        </w:rPr>
        <w:t>responsible for ensuring that he or she does not violate securities laws or this Policy.</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F60FD"/>
        </w:rPr>
        <w:t>Persons and Entities Subject to this Policy</w:t>
      </w:r>
    </w:p>
    <w:p>
      <w:pPr>
        <w:spacing w:after="0" w:line="230" w:lineRule="exact"/>
        <w:rPr>
          <w:sz w:val="20"/>
          <w:szCs w:val="20"/>
          <w:color w:val="auto"/>
        </w:rPr>
      </w:pPr>
    </w:p>
    <w:p>
      <w:pPr>
        <w:ind w:left="100" w:right="60"/>
        <w:spacing w:after="0" w:line="287" w:lineRule="auto"/>
        <w:rPr>
          <w:sz w:val="20"/>
          <w:szCs w:val="20"/>
          <w:color w:val="auto"/>
        </w:rPr>
      </w:pPr>
      <w:r>
        <w:rPr>
          <w:rFonts w:ascii="Arial" w:cs="Arial" w:eastAsia="Arial" w:hAnsi="Arial"/>
          <w:sz w:val="16"/>
          <w:szCs w:val="16"/>
          <w:color w:val="333333"/>
        </w:rPr>
        <w:t>This Policy applies to all directors, officers, employees and consultants of the Company and entities (such as trusts, limited partnerships and corporations) over which such individuals have or share voting or investment control (such individuals and entities, “</w:t>
      </w:r>
      <w:r>
        <w:rPr>
          <w:rFonts w:ascii="Arial" w:cs="Arial" w:eastAsia="Arial" w:hAnsi="Arial"/>
          <w:sz w:val="16"/>
          <w:szCs w:val="16"/>
          <w:b w:val="1"/>
          <w:bCs w:val="1"/>
          <w:i w:val="1"/>
          <w:iCs w:val="1"/>
          <w:color w:val="333333"/>
        </w:rPr>
        <w:t>Covered Parties</w:t>
      </w:r>
      <w:r>
        <w:rPr>
          <w:rFonts w:ascii="Arial" w:cs="Arial" w:eastAsia="Arial" w:hAnsi="Arial"/>
          <w:sz w:val="16"/>
          <w:szCs w:val="16"/>
          <w:color w:val="333333"/>
        </w:rPr>
        <w:t>”). The Policy also applies to family members and other persons living in a Covered Party’s household, and Covered Parties are responsible for compliance with this Policy by the members of their immediate family and personal household. Transactions that may be necessary or justifiable for independent reasons (such as the need to raise money for an emergency expenditure) are no exception to the Policy.</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F60FD"/>
        </w:rPr>
        <w:t>Additional Restrictions Applicable to Section 16 Insiders and Other Designated Insiders</w:t>
      </w:r>
    </w:p>
    <w:p>
      <w:pPr>
        <w:spacing w:after="0" w:line="243" w:lineRule="exact"/>
        <w:rPr>
          <w:sz w:val="20"/>
          <w:szCs w:val="20"/>
          <w:color w:val="auto"/>
        </w:rPr>
      </w:pPr>
    </w:p>
    <w:p>
      <w:pPr>
        <w:ind w:left="100" w:right="100"/>
        <w:spacing w:after="0" w:line="287" w:lineRule="auto"/>
        <w:rPr>
          <w:sz w:val="20"/>
          <w:szCs w:val="20"/>
          <w:color w:val="auto"/>
        </w:rPr>
      </w:pPr>
      <w:r>
        <w:rPr>
          <w:rFonts w:ascii="Arial" w:cs="Arial" w:eastAsia="Arial" w:hAnsi="Arial"/>
          <w:sz w:val="16"/>
          <w:szCs w:val="16"/>
          <w:u w:val="single" w:color="auto"/>
          <w:color w:val="333333"/>
        </w:rPr>
        <w:t>Section 16 Insiders</w:t>
      </w:r>
      <w:r>
        <w:rPr>
          <w:rFonts w:ascii="Arial" w:cs="Arial" w:eastAsia="Arial" w:hAnsi="Arial"/>
          <w:sz w:val="16"/>
          <w:szCs w:val="16"/>
          <w:color w:val="333333"/>
        </w:rPr>
        <w:t xml:space="preserve">. The Company has designated those persons listed on </w:t>
      </w:r>
      <w:r>
        <w:rPr>
          <w:rFonts w:ascii="Arial" w:cs="Arial" w:eastAsia="Arial" w:hAnsi="Arial"/>
          <w:sz w:val="16"/>
          <w:szCs w:val="16"/>
          <w:u w:val="single" w:color="auto"/>
          <w:color w:val="333333"/>
        </w:rPr>
        <w:t>Exhibit A</w:t>
      </w:r>
      <w:r>
        <w:rPr>
          <w:rFonts w:ascii="Arial" w:cs="Arial" w:eastAsia="Arial" w:hAnsi="Arial"/>
          <w:sz w:val="16"/>
          <w:szCs w:val="16"/>
          <w:color w:val="333333"/>
        </w:rPr>
        <w:t xml:space="preserve"> attached hereto as the directors and executive officers who are subject to the reporting provisions and trading restrictions of Section 16 of the Securities Exchange Act of 1934 (the “</w:t>
      </w:r>
      <w:r>
        <w:rPr>
          <w:rFonts w:ascii="Arial" w:cs="Arial" w:eastAsia="Arial" w:hAnsi="Arial"/>
          <w:sz w:val="16"/>
          <w:szCs w:val="16"/>
          <w:b w:val="1"/>
          <w:bCs w:val="1"/>
          <w:i w:val="1"/>
          <w:iCs w:val="1"/>
          <w:color w:val="333333"/>
        </w:rPr>
        <w:t>Exchange Act</w:t>
      </w:r>
      <w:r>
        <w:rPr>
          <w:rFonts w:ascii="Arial" w:cs="Arial" w:eastAsia="Arial" w:hAnsi="Arial"/>
          <w:sz w:val="16"/>
          <w:szCs w:val="16"/>
          <w:color w:val="333333"/>
        </w:rPr>
        <w:t>”) and the underlying rules and regulations promulgated by the SEC (“</w:t>
      </w:r>
      <w:r>
        <w:rPr>
          <w:rFonts w:ascii="Arial" w:cs="Arial" w:eastAsia="Arial" w:hAnsi="Arial"/>
          <w:sz w:val="16"/>
          <w:szCs w:val="16"/>
          <w:b w:val="1"/>
          <w:bCs w:val="1"/>
          <w:i w:val="1"/>
          <w:iCs w:val="1"/>
          <w:color w:val="333333"/>
        </w:rPr>
        <w:t>Section 16 Insiders</w:t>
      </w:r>
      <w:r>
        <w:rPr>
          <w:rFonts w:ascii="Arial" w:cs="Arial" w:eastAsia="Arial" w:hAnsi="Arial"/>
          <w:sz w:val="16"/>
          <w:szCs w:val="16"/>
          <w:color w:val="333333"/>
        </w:rPr>
        <w:t xml:space="preserve">”). The Compliance Officer will amend </w:t>
      </w:r>
      <w:r>
        <w:rPr>
          <w:rFonts w:ascii="Arial" w:cs="Arial" w:eastAsia="Arial" w:hAnsi="Arial"/>
          <w:sz w:val="16"/>
          <w:szCs w:val="16"/>
          <w:u w:val="single" w:color="auto"/>
          <w:color w:val="333333"/>
        </w:rPr>
        <w:t>Exhibit A</w:t>
      </w:r>
      <w:r>
        <w:rPr>
          <w:rFonts w:ascii="Arial" w:cs="Arial" w:eastAsia="Arial" w:hAnsi="Arial"/>
          <w:sz w:val="16"/>
          <w:szCs w:val="16"/>
          <w:color w:val="333333"/>
        </w:rPr>
        <w:t xml:space="preserve"> from time to time as necessary to reflect the addition and the resignation or departure of Section 16 Insiders. Section 16 Insiders are Covered Parties and are also subject to the additional restrictions and requirements set forth on </w:t>
      </w:r>
      <w:r>
        <w:rPr>
          <w:rFonts w:ascii="Arial" w:cs="Arial" w:eastAsia="Arial" w:hAnsi="Arial"/>
          <w:sz w:val="16"/>
          <w:szCs w:val="16"/>
          <w:u w:val="single" w:color="auto"/>
          <w:color w:val="333333"/>
        </w:rPr>
        <w:t>Appendix I</w:t>
      </w:r>
      <w:r>
        <w:rPr>
          <w:rFonts w:ascii="Arial" w:cs="Arial" w:eastAsia="Arial" w:hAnsi="Arial"/>
          <w:sz w:val="16"/>
          <w:szCs w:val="16"/>
          <w:color w:val="333333"/>
        </w:rPr>
        <w:t>.</w:t>
      </w:r>
    </w:p>
    <w:p>
      <w:pPr>
        <w:spacing w:after="0" w:line="61" w:lineRule="exact"/>
        <w:rPr>
          <w:sz w:val="20"/>
          <w:szCs w:val="20"/>
          <w:color w:val="auto"/>
        </w:rPr>
      </w:pPr>
    </w:p>
    <w:p>
      <w:pPr>
        <w:ind w:left="100" w:right="320"/>
        <w:spacing w:after="0" w:line="296" w:lineRule="auto"/>
        <w:rPr>
          <w:sz w:val="20"/>
          <w:szCs w:val="20"/>
          <w:color w:val="auto"/>
        </w:rPr>
      </w:pPr>
      <w:r>
        <w:rPr>
          <w:rFonts w:ascii="Arial" w:cs="Arial" w:eastAsia="Arial" w:hAnsi="Arial"/>
          <w:sz w:val="16"/>
          <w:szCs w:val="16"/>
          <w:u w:val="single" w:color="auto"/>
          <w:color w:val="333333"/>
        </w:rPr>
        <w:t>Insiders Subject to Quarterly Blackout Periods</w:t>
      </w:r>
      <w:r>
        <w:rPr>
          <w:rFonts w:ascii="Arial" w:cs="Arial" w:eastAsia="Arial" w:hAnsi="Arial"/>
          <w:sz w:val="16"/>
          <w:szCs w:val="16"/>
          <w:color w:val="333333"/>
        </w:rPr>
        <w:t xml:space="preserve">. The Company has designated those persons listed on </w:t>
      </w:r>
      <w:r>
        <w:rPr>
          <w:rFonts w:ascii="Arial" w:cs="Arial" w:eastAsia="Arial" w:hAnsi="Arial"/>
          <w:sz w:val="16"/>
          <w:szCs w:val="16"/>
          <w:u w:val="single" w:color="auto"/>
          <w:color w:val="333333"/>
        </w:rPr>
        <w:t>Exhibit B</w:t>
      </w:r>
      <w:r>
        <w:rPr>
          <w:rFonts w:ascii="Arial" w:cs="Arial" w:eastAsia="Arial" w:hAnsi="Arial"/>
          <w:sz w:val="16"/>
          <w:szCs w:val="16"/>
          <w:color w:val="333333"/>
        </w:rPr>
        <w:t xml:space="preserve"> attached hereto as “</w:t>
      </w:r>
      <w:r>
        <w:rPr>
          <w:rFonts w:ascii="Arial" w:cs="Arial" w:eastAsia="Arial" w:hAnsi="Arial"/>
          <w:sz w:val="16"/>
          <w:szCs w:val="16"/>
          <w:b w:val="1"/>
          <w:bCs w:val="1"/>
          <w:i w:val="1"/>
          <w:iCs w:val="1"/>
          <w:color w:val="333333"/>
        </w:rPr>
        <w:t>Insiders</w:t>
      </w:r>
      <w:r>
        <w:rPr>
          <w:rFonts w:ascii="Arial" w:cs="Arial" w:eastAsia="Arial" w:hAnsi="Arial"/>
          <w:sz w:val="16"/>
          <w:szCs w:val="16"/>
          <w:color w:val="333333"/>
        </w:rPr>
        <w:t xml:space="preserve">” who are subject to the trading blackout periods described in </w:t>
      </w:r>
      <w:r>
        <w:rPr>
          <w:rFonts w:ascii="Arial" w:cs="Arial" w:eastAsia="Arial" w:hAnsi="Arial"/>
          <w:sz w:val="16"/>
          <w:szCs w:val="16"/>
          <w:u w:val="single" w:color="auto"/>
          <w:color w:val="333333"/>
        </w:rPr>
        <w:t>Appendix II</w:t>
      </w:r>
      <w:r>
        <w:rPr>
          <w:rFonts w:ascii="Arial" w:cs="Arial" w:eastAsia="Arial" w:hAnsi="Arial"/>
          <w:sz w:val="16"/>
          <w:szCs w:val="16"/>
          <w:color w:val="333333"/>
        </w:rPr>
        <w:t xml:space="preserve"> and the pre- clearance requirements set forth in </w:t>
      </w:r>
      <w:r>
        <w:rPr>
          <w:rFonts w:ascii="Arial" w:cs="Arial" w:eastAsia="Arial" w:hAnsi="Arial"/>
          <w:sz w:val="16"/>
          <w:szCs w:val="16"/>
          <w:u w:val="single" w:color="auto"/>
          <w:color w:val="333333"/>
        </w:rPr>
        <w:t>Appendix III</w:t>
      </w:r>
      <w:r>
        <w:rPr>
          <w:rFonts w:ascii="Arial" w:cs="Arial" w:eastAsia="Arial" w:hAnsi="Arial"/>
          <w:sz w:val="16"/>
          <w:szCs w:val="16"/>
          <w:color w:val="333333"/>
        </w:rPr>
        <w:t xml:space="preserve">. The Compliance Officer will amend </w:t>
      </w:r>
      <w:r>
        <w:rPr>
          <w:rFonts w:ascii="Arial" w:cs="Arial" w:eastAsia="Arial" w:hAnsi="Arial"/>
          <w:sz w:val="16"/>
          <w:szCs w:val="16"/>
          <w:u w:val="single" w:color="auto"/>
          <w:color w:val="333333"/>
        </w:rPr>
        <w:t>Exhibit B</w:t>
      </w:r>
      <w:r>
        <w:rPr>
          <w:rFonts w:ascii="Arial" w:cs="Arial" w:eastAsia="Arial" w:hAnsi="Arial"/>
          <w:sz w:val="16"/>
          <w:szCs w:val="16"/>
          <w:color w:val="333333"/>
        </w:rPr>
        <w:t xml:space="preserve"> from time to time as necessary to reflect the addition and the resignation or departure of such Insiders.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200"/>
          </w:cols>
          <w:pgMar w:left="360" w:top="344"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303" w:lineRule="exact"/>
        <w:rPr>
          <w:sz w:val="20"/>
          <w:szCs w:val="20"/>
          <w:color w:val="auto"/>
        </w:rPr>
      </w:pPr>
    </w:p>
    <w:p>
      <w:pPr>
        <w:ind w:left="60" w:right="520"/>
        <w:spacing w:after="0" w:line="302" w:lineRule="auto"/>
        <w:rPr>
          <w:sz w:val="20"/>
          <w:szCs w:val="20"/>
          <w:color w:val="auto"/>
        </w:rPr>
      </w:pPr>
      <w:r>
        <w:rPr>
          <w:rFonts w:ascii="Arial" w:cs="Arial" w:eastAsia="Arial" w:hAnsi="Arial"/>
          <w:sz w:val="25"/>
          <w:szCs w:val="25"/>
          <w:b w:val="1"/>
          <w:bCs w:val="1"/>
          <w:color w:val="0F60FD"/>
        </w:rPr>
        <w:t>Trading in Company Securities While in Possession of Material Nonpublic Information is Prohibited</w:t>
      </w:r>
    </w:p>
    <w:p>
      <w:pPr>
        <w:spacing w:after="0" w:line="101" w:lineRule="exact"/>
        <w:rPr>
          <w:sz w:val="20"/>
          <w:szCs w:val="20"/>
          <w:color w:val="auto"/>
        </w:rPr>
      </w:pPr>
    </w:p>
    <w:p>
      <w:pPr>
        <w:ind w:left="60" w:right="120"/>
        <w:spacing w:after="0" w:line="287" w:lineRule="auto"/>
        <w:rPr>
          <w:sz w:val="20"/>
          <w:szCs w:val="20"/>
          <w:color w:val="auto"/>
        </w:rPr>
      </w:pPr>
      <w:r>
        <w:rPr>
          <w:rFonts w:ascii="Arial" w:cs="Arial" w:eastAsia="Arial" w:hAnsi="Arial"/>
          <w:sz w:val="16"/>
          <w:szCs w:val="16"/>
          <w:color w:val="333333"/>
        </w:rPr>
        <w:t>Covered Parties may not trade in the stock or other securities of any company when they know “material nonpublic information” about the company, other than pursuant to a trading plan that complies with Rule 10b5-1 promulgated by the Securities and Exchange Commission (“</w:t>
      </w:r>
      <w:r>
        <w:rPr>
          <w:rFonts w:ascii="Arial" w:cs="Arial" w:eastAsia="Arial" w:hAnsi="Arial"/>
          <w:sz w:val="16"/>
          <w:szCs w:val="16"/>
          <w:b w:val="1"/>
          <w:bCs w:val="1"/>
          <w:i w:val="1"/>
          <w:iCs w:val="1"/>
          <w:color w:val="333333"/>
        </w:rPr>
        <w:t>SEC</w:t>
      </w:r>
      <w:r>
        <w:rPr>
          <w:rFonts w:ascii="Arial" w:cs="Arial" w:eastAsia="Arial" w:hAnsi="Arial"/>
          <w:sz w:val="16"/>
          <w:szCs w:val="16"/>
          <w:color w:val="333333"/>
        </w:rPr>
        <w:t>”). This restriction is not limited to trading in the Company’s securities. It includes trading in the securities of other companies such as customers, suppliers or vendors of the Company and those with which the Company may be negotiating major transactions, such as an acquisition, investment or sale. Information that is not material to the Company may nevertheless be material to one of those other companies.</w:t>
      </w:r>
    </w:p>
    <w:p>
      <w:pPr>
        <w:spacing w:after="0" w:line="74" w:lineRule="exact"/>
        <w:rPr>
          <w:sz w:val="20"/>
          <w:szCs w:val="20"/>
          <w:color w:val="auto"/>
        </w:rPr>
      </w:pPr>
    </w:p>
    <w:p>
      <w:pPr>
        <w:ind w:left="60"/>
        <w:spacing w:after="0" w:line="302" w:lineRule="auto"/>
        <w:rPr>
          <w:sz w:val="20"/>
          <w:szCs w:val="20"/>
          <w:color w:val="auto"/>
        </w:rPr>
      </w:pPr>
      <w:r>
        <w:rPr>
          <w:rFonts w:ascii="Arial" w:cs="Arial" w:eastAsia="Arial" w:hAnsi="Arial"/>
          <w:sz w:val="16"/>
          <w:szCs w:val="16"/>
          <w:color w:val="333333"/>
        </w:rPr>
        <w:t>The term “</w:t>
      </w:r>
      <w:r>
        <w:rPr>
          <w:rFonts w:ascii="Arial" w:cs="Arial" w:eastAsia="Arial" w:hAnsi="Arial"/>
          <w:sz w:val="16"/>
          <w:szCs w:val="16"/>
          <w:b w:val="1"/>
          <w:bCs w:val="1"/>
          <w:i w:val="1"/>
          <w:iCs w:val="1"/>
          <w:color w:val="333333"/>
        </w:rPr>
        <w:t>trade</w:t>
      </w:r>
      <w:r>
        <w:rPr>
          <w:rFonts w:ascii="Arial" w:cs="Arial" w:eastAsia="Arial" w:hAnsi="Arial"/>
          <w:sz w:val="16"/>
          <w:szCs w:val="16"/>
          <w:color w:val="333333"/>
        </w:rPr>
        <w:t>” or “</w:t>
      </w:r>
      <w:r>
        <w:rPr>
          <w:rFonts w:ascii="Arial" w:cs="Arial" w:eastAsia="Arial" w:hAnsi="Arial"/>
          <w:sz w:val="16"/>
          <w:szCs w:val="16"/>
          <w:b w:val="1"/>
          <w:bCs w:val="1"/>
          <w:i w:val="1"/>
          <w:iCs w:val="1"/>
          <w:color w:val="333333"/>
        </w:rPr>
        <w:t>trading</w:t>
      </w:r>
      <w:r>
        <w:rPr>
          <w:rFonts w:ascii="Arial" w:cs="Arial" w:eastAsia="Arial" w:hAnsi="Arial"/>
          <w:sz w:val="16"/>
          <w:szCs w:val="16"/>
          <w:color w:val="333333"/>
        </w:rPr>
        <w:t>” includes purchases, sales and gifts of stock, bonds, debentures, options, puts, calls and other similar securities. This Policy covers trades made pursuant to any investment direction under employee benefit plans as well as trades in the open market. This Policy also applies to the exercise of options with an immediate sale of some or all of the shares through a broker (“</w:t>
      </w:r>
      <w:r>
        <w:rPr>
          <w:rFonts w:ascii="Arial" w:cs="Arial" w:eastAsia="Arial" w:hAnsi="Arial"/>
          <w:sz w:val="16"/>
          <w:szCs w:val="16"/>
          <w:b w:val="1"/>
          <w:bCs w:val="1"/>
          <w:i w:val="1"/>
          <w:iCs w:val="1"/>
          <w:color w:val="333333"/>
        </w:rPr>
        <w:t>cashless exercise</w:t>
      </w:r>
      <w:r>
        <w:rPr>
          <w:rFonts w:ascii="Arial" w:cs="Arial" w:eastAsia="Arial" w:hAnsi="Arial"/>
          <w:sz w:val="16"/>
          <w:szCs w:val="16"/>
          <w:color w:val="333333"/>
        </w:rPr>
        <w:t>”).</w:t>
      </w:r>
    </w:p>
    <w:p>
      <w:pPr>
        <w:spacing w:after="0" w:line="53" w:lineRule="exact"/>
        <w:rPr>
          <w:sz w:val="20"/>
          <w:szCs w:val="20"/>
          <w:color w:val="auto"/>
        </w:rPr>
      </w:pPr>
    </w:p>
    <w:p>
      <w:pPr>
        <w:ind w:left="60" w:right="140"/>
        <w:spacing w:after="0" w:line="296" w:lineRule="auto"/>
        <w:rPr>
          <w:sz w:val="20"/>
          <w:szCs w:val="20"/>
          <w:color w:val="auto"/>
        </w:rPr>
      </w:pPr>
      <w:r>
        <w:rPr>
          <w:rFonts w:ascii="Arial" w:cs="Arial" w:eastAsia="Arial" w:hAnsi="Arial"/>
          <w:sz w:val="16"/>
          <w:szCs w:val="16"/>
          <w:color w:val="333333"/>
        </w:rPr>
        <w:t>Covered Parties must not share material nonpublic information with others, including friends and family, or recommend to anyone the trading of any securities on the basis of such information. This practice, known as “tipping,” also violates the securities laws and can result in the same civil and criminal penalties that apply to insider trading, whether or not the Covered Party derives any benefit from another’s actions.</w:t>
      </w:r>
    </w:p>
    <w:p>
      <w:pPr>
        <w:spacing w:after="0" w:line="66" w:lineRule="exact"/>
        <w:rPr>
          <w:sz w:val="20"/>
          <w:szCs w:val="20"/>
          <w:color w:val="auto"/>
        </w:rPr>
      </w:pPr>
    </w:p>
    <w:p>
      <w:pPr>
        <w:ind w:left="60" w:right="100"/>
        <w:spacing w:after="0" w:line="296" w:lineRule="auto"/>
        <w:rPr>
          <w:sz w:val="20"/>
          <w:szCs w:val="20"/>
          <w:color w:val="auto"/>
        </w:rPr>
      </w:pPr>
      <w:r>
        <w:rPr>
          <w:rFonts w:ascii="Arial" w:cs="Arial" w:eastAsia="Arial" w:hAnsi="Arial"/>
          <w:sz w:val="16"/>
          <w:szCs w:val="16"/>
          <w:color w:val="333333"/>
        </w:rPr>
        <w:t>Because of the unique potential for abuse of material nonpublic information, it is also the Company’s policy that Covered Parties may not engage in short-term speculative transactions involving trading in the Company’s securities. This includes short sales and buying or selling puts or calls. In addition, the purchase of the Company’s securities on margin (except in connection with the exercise of stock options under Company incentive plans) is prohibited.</w:t>
      </w: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Definition of “Material Nonpublic Information”</w:t>
      </w:r>
    </w:p>
    <w:p>
      <w:pPr>
        <w:spacing w:after="0" w:line="230" w:lineRule="exact"/>
        <w:rPr>
          <w:sz w:val="20"/>
          <w:szCs w:val="20"/>
          <w:color w:val="auto"/>
        </w:rPr>
      </w:pPr>
    </w:p>
    <w:p>
      <w:pPr>
        <w:ind w:left="60" w:right="100"/>
        <w:spacing w:after="0" w:line="285" w:lineRule="auto"/>
        <w:rPr>
          <w:sz w:val="20"/>
          <w:szCs w:val="20"/>
          <w:color w:val="auto"/>
        </w:rPr>
      </w:pPr>
      <w:r>
        <w:rPr>
          <w:rFonts w:ascii="Arial" w:cs="Arial" w:eastAsia="Arial" w:hAnsi="Arial"/>
          <w:sz w:val="16"/>
          <w:szCs w:val="16"/>
          <w:u w:val="single" w:color="auto"/>
          <w:color w:val="333333"/>
        </w:rPr>
        <w:t>Material Information</w:t>
      </w:r>
      <w:r>
        <w:rPr>
          <w:rFonts w:ascii="Arial" w:cs="Arial" w:eastAsia="Arial" w:hAnsi="Arial"/>
          <w:sz w:val="16"/>
          <w:szCs w:val="16"/>
          <w:i w:val="1"/>
          <w:iCs w:val="1"/>
          <w:color w:val="333333"/>
        </w:rPr>
        <w:t>.</w:t>
      </w:r>
      <w:r>
        <w:rPr>
          <w:rFonts w:ascii="Arial" w:cs="Arial" w:eastAsia="Arial" w:hAnsi="Arial"/>
          <w:sz w:val="16"/>
          <w:szCs w:val="16"/>
          <w:color w:val="333333"/>
        </w:rPr>
        <w:t xml:space="preserve"> Information is material if there is a substantial likelihood that a reasonable investor would consider it important in investing or voting decisions, or if the disclosure of the information would be expected to significantly alter the total mix of information in the marketplace about the Company. Therefore, any information that could reasonably be expected to affect the price of the security is material. Both positive and negative information can be material. Because any trading that receives scrutiny will be evaluated after the fact (with the benefit of hindsight), questions concerning materiality should be resolved in favor of deeming such information to be material, and trading should be avoided. Common examples of inside information that ordinarily would be considered material are:</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Financial performance, especially quarterly and year-end operating results.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Projections of future earnings or losses or changes in such projections.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Company projections and strategic plans.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Actual earnings.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pending or prospective joint venture, merger, acquisition, tender offer or financing.</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Significant labor disputes or negotiations.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potential or actual significant sale of assets or disposition of a subsidiary.</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gain or loss of a material contract, customer or supplier, or material changes in the profitability status of a current contract.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development or release of a new product or service.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2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020"/>
          </w:cols>
          <w:pgMar w:left="400" w:top="1440" w:right="47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Significant pricing changes.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Changes in a previously announced schedule for the development or release of a new product or service.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Changes in senior management, other major personnel changes or labor negotiations.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Commencement or threats of major litigations, or significant developments in pending litigation, including resolution of such litigation.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Significant increases or decreases in dividends or the declaration of stock split or the offering of additional securities.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Financial liquidity problems.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significant cybersecurity incident, such as a data breach or a significant disruption or unauthorized access to information technology infrastructure.</w:t>
      </w:r>
    </w:p>
    <w:p>
      <w:pPr>
        <w:spacing w:after="0" w:line="136" w:lineRule="exact"/>
        <w:rPr>
          <w:sz w:val="20"/>
          <w:szCs w:val="20"/>
          <w:color w:val="auto"/>
        </w:rPr>
      </w:pPr>
    </w:p>
    <w:p>
      <w:pPr>
        <w:ind w:left="60" w:right="240"/>
        <w:spacing w:after="0" w:line="290" w:lineRule="auto"/>
        <w:rPr>
          <w:sz w:val="20"/>
          <w:szCs w:val="20"/>
          <w:color w:val="auto"/>
        </w:rPr>
      </w:pPr>
      <w:r>
        <w:rPr>
          <w:rFonts w:ascii="Arial" w:cs="Arial" w:eastAsia="Arial" w:hAnsi="Arial"/>
          <w:sz w:val="16"/>
          <w:szCs w:val="16"/>
          <w:u w:val="single" w:color="auto"/>
          <w:color w:val="333333"/>
        </w:rPr>
        <w:t>Nonpublic Information</w:t>
      </w:r>
      <w:r>
        <w:rPr>
          <w:rFonts w:ascii="Arial" w:cs="Arial" w:eastAsia="Arial" w:hAnsi="Arial"/>
          <w:sz w:val="16"/>
          <w:szCs w:val="16"/>
          <w:color w:val="333333"/>
        </w:rPr>
        <w:t>. Nonpublic information is information that is not generally known or available to the public. Information is considered to be available to the public only when it has been released to the public through the appropriate channels (see Disclosure Policy), e.g., by means of a press release or a statement from one of the Company’s authorized spokespersons, and enough time has elapsed to permit the investment market to absorb and evaluate the information. As a general rule, information is considered nonpublic under this Policy until the third business day after public disclosure.</w:t>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Consequences for Violations of Insider Trading Laws or This Policy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333333"/>
        </w:rPr>
        <w:t>Civil and Criminal Penalties</w:t>
      </w:r>
      <w:r>
        <w:rPr>
          <w:rFonts w:ascii="Arial" w:cs="Arial" w:eastAsia="Arial" w:hAnsi="Arial"/>
          <w:sz w:val="16"/>
          <w:szCs w:val="16"/>
          <w:color w:val="333333"/>
        </w:rPr>
        <w:t>. Potential penalties for insider trading violations include civil fines of up to three times the profit gained or loss avoided by trading,</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criminal fines of up to $5,000,000, and/or sentences of up to 20 years in a federal penitentiary for an individual and criminal fines of up to $25,000,000 for</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nonnatural persons. In addition, a company whose employee violates the insider prohibitions may be liable for civil fines of up to the greater of</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$1,000,000 or three times the profit gained or loss avoided as a result of the employee’s insider trading violations. The Company and/or the supervisors of</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the person violating the rules may also be required to pay major civil or criminal penalties.</w:t>
      </w:r>
    </w:p>
    <w:p>
      <w:pPr>
        <w:spacing w:after="0" w:line="136" w:lineRule="exact"/>
        <w:rPr>
          <w:sz w:val="20"/>
          <w:szCs w:val="20"/>
          <w:color w:val="auto"/>
        </w:rPr>
      </w:pPr>
    </w:p>
    <w:p>
      <w:pPr>
        <w:ind w:left="60" w:right="120"/>
        <w:spacing w:after="0" w:line="313" w:lineRule="auto"/>
        <w:rPr>
          <w:sz w:val="20"/>
          <w:szCs w:val="20"/>
          <w:color w:val="auto"/>
        </w:rPr>
      </w:pPr>
      <w:r>
        <w:rPr>
          <w:rFonts w:ascii="Arial" w:cs="Arial" w:eastAsia="Arial" w:hAnsi="Arial"/>
          <w:sz w:val="16"/>
          <w:szCs w:val="16"/>
          <w:u w:val="single" w:color="auto"/>
          <w:color w:val="333333"/>
        </w:rPr>
        <w:t>Company Discipline</w:t>
      </w:r>
      <w:r>
        <w:rPr>
          <w:rFonts w:ascii="Arial" w:cs="Arial" w:eastAsia="Arial" w:hAnsi="Arial"/>
          <w:sz w:val="16"/>
          <w:szCs w:val="16"/>
          <w:color w:val="333333"/>
        </w:rPr>
        <w:t>. Violation of this Policy or federal or state insider trading laws by any Covered Party may subject a director to removal proceedings and any other Covered Party to disciplinary action by the Company, including termination for cause.</w:t>
      </w:r>
    </w:p>
    <w:p>
      <w:pPr>
        <w:spacing w:after="0" w:line="54" w:lineRule="exact"/>
        <w:rPr>
          <w:sz w:val="20"/>
          <w:szCs w:val="20"/>
          <w:color w:val="auto"/>
        </w:rPr>
      </w:pPr>
    </w:p>
    <w:p>
      <w:pPr>
        <w:ind w:left="60" w:right="180"/>
        <w:spacing w:after="0" w:line="314" w:lineRule="auto"/>
        <w:rPr>
          <w:sz w:val="20"/>
          <w:szCs w:val="20"/>
          <w:color w:val="auto"/>
        </w:rPr>
      </w:pPr>
      <w:r>
        <w:rPr>
          <w:rFonts w:ascii="Arial" w:cs="Arial" w:eastAsia="Arial" w:hAnsi="Arial"/>
          <w:sz w:val="15"/>
          <w:szCs w:val="15"/>
          <w:u w:val="single" w:color="auto"/>
          <w:color w:val="333333"/>
        </w:rPr>
        <w:t>Reporting Violations</w:t>
      </w:r>
      <w:r>
        <w:rPr>
          <w:rFonts w:ascii="Arial" w:cs="Arial" w:eastAsia="Arial" w:hAnsi="Arial"/>
          <w:sz w:val="15"/>
          <w:szCs w:val="15"/>
          <w:color w:val="333333"/>
        </w:rPr>
        <w:t>. Any person who violates this Policy or any federal or state laws governing insider trading, or knows of any such violation 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Insider Trading Compliance Officer</w:t>
      </w:r>
    </w:p>
    <w:p>
      <w:pPr>
        <w:spacing w:after="0" w:line="243" w:lineRule="exact"/>
        <w:rPr>
          <w:sz w:val="20"/>
          <w:szCs w:val="20"/>
          <w:color w:val="auto"/>
        </w:rPr>
      </w:pPr>
    </w:p>
    <w:p>
      <w:pPr>
        <w:ind w:left="60" w:right="200"/>
        <w:spacing w:after="0" w:line="282" w:lineRule="auto"/>
        <w:rPr>
          <w:sz w:val="20"/>
          <w:szCs w:val="20"/>
          <w:color w:val="auto"/>
        </w:rPr>
      </w:pPr>
      <w:r>
        <w:rPr>
          <w:rFonts w:ascii="Arial" w:cs="Arial" w:eastAsia="Arial" w:hAnsi="Arial"/>
          <w:sz w:val="16"/>
          <w:szCs w:val="16"/>
          <w:color w:val="333333"/>
        </w:rPr>
        <w:t>The Company has designated the Company’s Chief Legal Officer to act as the Company’s Insider Trading Compliance Officer (the “</w:t>
      </w:r>
      <w:r>
        <w:rPr>
          <w:rFonts w:ascii="Arial" w:cs="Arial" w:eastAsia="Arial" w:hAnsi="Arial"/>
          <w:sz w:val="16"/>
          <w:szCs w:val="16"/>
          <w:b w:val="1"/>
          <w:bCs w:val="1"/>
          <w:i w:val="1"/>
          <w:iCs w:val="1"/>
          <w:color w:val="333333"/>
        </w:rPr>
        <w:t>Compliance Officer</w:t>
      </w:r>
      <w:r>
        <w:rPr>
          <w:rFonts w:ascii="Arial" w:cs="Arial" w:eastAsia="Arial" w:hAnsi="Arial"/>
          <w:sz w:val="16"/>
          <w:szCs w:val="16"/>
          <w:color w:val="333333"/>
        </w:rPr>
        <w:t>”); provided, however, that if the Chief Legal Officer is a party to a proposed trade, transaction or inquiry relating to this Policy, the Company’s Chief Financial Officer shall act as the Compliance Officer with respect to such proposed trade, transaction or inquiry. The Compliance Officer may delegate his or her authority to act as the Compliance Officer as he or she deem necessary or appropriate in his or her sole discretion. The duties and powers of the Compliance Officer and his or her delegees may include the following: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3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160"/>
          </w:cols>
          <w:pgMar w:left="400" w:top="1440" w:right="339" w:bottom="1440" w:gutter="0" w:footer="0" w:header="0"/>
        </w:sectPr>
      </w:pPr>
    </w:p>
    <w:bookmarkStart w:id="80" w:name="page81"/>
    <w:bookmarkEnd w:id="8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333333"/>
        </w:rPr>
        <w:t>Administering, monitoring and enforcing compliance with this Policy.</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Responding to all inquiries relating to this Policy.</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Designating and announcing special trading blackout periods during which specified persons may trade in Company securities.</w:t>
      </w:r>
    </w:p>
    <w:p>
      <w:pPr>
        <w:spacing w:after="0" w:line="136" w:lineRule="exact"/>
        <w:rPr>
          <w:sz w:val="20"/>
          <w:szCs w:val="20"/>
          <w:color w:val="auto"/>
        </w:rPr>
      </w:pPr>
    </w:p>
    <w:p>
      <w:pPr>
        <w:ind w:left="240" w:hanging="84"/>
        <w:spacing w:after="0" w:line="313" w:lineRule="auto"/>
        <w:rPr>
          <w:sz w:val="20"/>
          <w:szCs w:val="20"/>
          <w:color w:val="auto"/>
        </w:rPr>
      </w:pPr>
      <w:r>
        <w:rPr>
          <w:rFonts w:ascii="Arial" w:cs="Arial" w:eastAsia="Arial" w:hAnsi="Arial"/>
          <w:sz w:val="16"/>
          <w:szCs w:val="16"/>
          <w:color w:val="333333"/>
        </w:rPr>
        <w:t>Providing copies of this Policy and other appropriate materials to all current and new Covered Parties, and such other persons as the Compliance Officer determines have access to material nonpublic information concerning the Company.</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Administering, monitoring and enforcing compliance with federal and state insider trading laws and regulations.</w:t>
      </w:r>
    </w:p>
    <w:p>
      <w:pPr>
        <w:spacing w:after="0" w:line="136" w:lineRule="exact"/>
        <w:rPr>
          <w:sz w:val="20"/>
          <w:szCs w:val="20"/>
          <w:color w:val="auto"/>
        </w:rPr>
      </w:pPr>
    </w:p>
    <w:p>
      <w:pPr>
        <w:ind w:left="240" w:right="720" w:hanging="84"/>
        <w:spacing w:after="0" w:line="313" w:lineRule="auto"/>
        <w:rPr>
          <w:sz w:val="20"/>
          <w:szCs w:val="20"/>
          <w:color w:val="auto"/>
        </w:rPr>
      </w:pPr>
      <w:r>
        <w:rPr>
          <w:rFonts w:ascii="Arial" w:cs="Arial" w:eastAsia="Arial" w:hAnsi="Arial"/>
          <w:sz w:val="16"/>
          <w:szCs w:val="16"/>
          <w:color w:val="333333"/>
        </w:rPr>
        <w:t>Assisting in the preparation and filing of all required SEC reports relating to trading in Company securities, including Forms 3, 4, 5 and 144 and Schedules 13D and 13G.</w:t>
      </w:r>
    </w:p>
    <w:p>
      <w:pPr>
        <w:spacing w:after="0" w:line="54" w:lineRule="exact"/>
        <w:rPr>
          <w:sz w:val="20"/>
          <w:szCs w:val="20"/>
          <w:color w:val="auto"/>
        </w:rPr>
      </w:pPr>
    </w:p>
    <w:p>
      <w:pPr>
        <w:ind w:left="240" w:right="320" w:hanging="84"/>
        <w:spacing w:after="0" w:line="313" w:lineRule="auto"/>
        <w:rPr>
          <w:sz w:val="20"/>
          <w:szCs w:val="20"/>
          <w:color w:val="auto"/>
        </w:rPr>
      </w:pPr>
      <w:r>
        <w:rPr>
          <w:rFonts w:ascii="Arial" w:cs="Arial" w:eastAsia="Arial" w:hAnsi="Arial"/>
          <w:sz w:val="16"/>
          <w:szCs w:val="16"/>
          <w:color w:val="333333"/>
        </w:rPr>
        <w:t>Maintaining as Company records originals or copies of all documents required by the provisions of this Policy, and copies of all required SEC reports relating to insider trading, including Forms 3, 4, 5 and 144 and Schedules 13D and 13G.</w:t>
      </w:r>
    </w:p>
    <w:p>
      <w:pPr>
        <w:spacing w:after="0" w:line="54" w:lineRule="exact"/>
        <w:rPr>
          <w:sz w:val="20"/>
          <w:szCs w:val="20"/>
          <w:color w:val="auto"/>
        </w:rPr>
      </w:pPr>
    </w:p>
    <w:p>
      <w:pPr>
        <w:ind w:left="240" w:right="560" w:hanging="84"/>
        <w:spacing w:after="0" w:line="313" w:lineRule="auto"/>
        <w:rPr>
          <w:sz w:val="20"/>
          <w:szCs w:val="20"/>
          <w:color w:val="auto"/>
        </w:rPr>
      </w:pPr>
      <w:r>
        <w:rPr>
          <w:rFonts w:ascii="Arial" w:cs="Arial" w:eastAsia="Arial" w:hAnsi="Arial"/>
          <w:sz w:val="16"/>
          <w:szCs w:val="16"/>
          <w:color w:val="333333"/>
        </w:rPr>
        <w:t xml:space="preserve">Maintaining the accuracy of the list of roles/titles as set forth on </w:t>
      </w:r>
      <w:r>
        <w:rPr>
          <w:rFonts w:ascii="Arial" w:cs="Arial" w:eastAsia="Arial" w:hAnsi="Arial"/>
          <w:sz w:val="16"/>
          <w:szCs w:val="16"/>
          <w:u w:val="single" w:color="auto"/>
          <w:color w:val="333333"/>
        </w:rPr>
        <w:t>Exhibit A</w:t>
      </w:r>
      <w:r>
        <w:rPr>
          <w:rFonts w:ascii="Arial" w:cs="Arial" w:eastAsia="Arial" w:hAnsi="Arial"/>
          <w:sz w:val="16"/>
          <w:szCs w:val="16"/>
          <w:color w:val="333333"/>
        </w:rPr>
        <w:t xml:space="preserve"> and </w:t>
      </w:r>
      <w:r>
        <w:rPr>
          <w:rFonts w:ascii="Arial" w:cs="Arial" w:eastAsia="Arial" w:hAnsi="Arial"/>
          <w:sz w:val="16"/>
          <w:szCs w:val="16"/>
          <w:u w:val="single" w:color="auto"/>
          <w:color w:val="333333"/>
        </w:rPr>
        <w:t>Exhibit B</w:t>
      </w:r>
      <w:r>
        <w:rPr>
          <w:rFonts w:ascii="Arial" w:cs="Arial" w:eastAsia="Arial" w:hAnsi="Arial"/>
          <w:sz w:val="16"/>
          <w:szCs w:val="16"/>
          <w:color w:val="333333"/>
        </w:rPr>
        <w:t>, and updating such list periodically as necessary to reflect additions or deletions.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Designing and requiring training about the obligations of this Policy as the Compliance Officer considers appropriate.</w:t>
      </w:r>
    </w:p>
    <w:p>
      <w:pPr>
        <w:spacing w:after="0" w:line="136" w:lineRule="exact"/>
        <w:rPr>
          <w:sz w:val="20"/>
          <w:szCs w:val="20"/>
          <w:color w:val="auto"/>
        </w:rPr>
      </w:pPr>
    </w:p>
    <w:p>
      <w:pPr>
        <w:ind w:left="60" w:right="360"/>
        <w:spacing w:after="0" w:line="313" w:lineRule="auto"/>
        <w:rPr>
          <w:sz w:val="20"/>
          <w:szCs w:val="20"/>
          <w:color w:val="auto"/>
        </w:rPr>
      </w:pPr>
      <w:r>
        <w:rPr>
          <w:rFonts w:ascii="Arial" w:cs="Arial" w:eastAsia="Arial" w:hAnsi="Arial"/>
          <w:sz w:val="16"/>
          <w:szCs w:val="16"/>
          <w:color w:val="333333"/>
        </w:rPr>
        <w:t>The Compliance Officer may designate one or more individuals who may perform the Compliance Officer’s duties under this Policy in the event that a Compliance Officer is unable or unavailable to perform such duties.</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Limited Exceptions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Employee Benefit Plans</w:t>
      </w:r>
    </w:p>
    <w:p>
      <w:pPr>
        <w:spacing w:after="0" w:line="64" w:lineRule="exact"/>
        <w:rPr>
          <w:sz w:val="20"/>
          <w:szCs w:val="20"/>
          <w:color w:val="auto"/>
        </w:rPr>
      </w:pPr>
    </w:p>
    <w:p>
      <w:pPr>
        <w:ind w:left="60" w:right="20"/>
        <w:spacing w:after="0" w:line="287" w:lineRule="auto"/>
        <w:rPr>
          <w:sz w:val="20"/>
          <w:szCs w:val="20"/>
          <w:color w:val="auto"/>
        </w:rPr>
      </w:pPr>
      <w:r>
        <w:rPr>
          <w:rFonts w:ascii="Arial" w:cs="Arial" w:eastAsia="Arial" w:hAnsi="Arial"/>
          <w:sz w:val="16"/>
          <w:szCs w:val="16"/>
          <w:i w:val="1"/>
          <w:iCs w:val="1"/>
          <w:color w:val="333333"/>
        </w:rPr>
        <w:t>Equity Incentive Plans</w:t>
      </w:r>
      <w:r>
        <w:rPr>
          <w:rFonts w:ascii="Arial" w:cs="Arial" w:eastAsia="Arial" w:hAnsi="Arial"/>
          <w:sz w:val="16"/>
          <w:szCs w:val="16"/>
          <w:color w:val="333333"/>
        </w:rPr>
        <w:t>. The restrictions set forth in this Policy do not apply to the exercise of stock options or other equity awards for cash, but do apply to</w:t>
      </w:r>
      <w:r>
        <w:rPr>
          <w:rFonts w:ascii="Arial" w:cs="Arial" w:eastAsia="Arial" w:hAnsi="Arial"/>
          <w:sz w:val="16"/>
          <w:szCs w:val="16"/>
          <w:i w:val="1"/>
          <w:iCs w:val="1"/>
          <w:color w:val="333333"/>
        </w:rPr>
        <w:t xml:space="preserve"> </w:t>
      </w:r>
      <w:r>
        <w:rPr>
          <w:rFonts w:ascii="Arial" w:cs="Arial" w:eastAsia="Arial" w:hAnsi="Arial"/>
          <w:sz w:val="16"/>
          <w:szCs w:val="16"/>
          <w:color w:val="333333"/>
        </w:rPr>
        <w:t>all sales of securities acquired through the exercise of stock options or other equity awards. Thus, this Policy does apply to the “same-day sale” or cashless exercise of Company stock options. The restrictions also apply to the sale of shares received on the settlement of restricted stock units or similar awards to cover applicable tax withholding, but do not apply to automatic withholding of shares by the Company to cover applicable taxes on the settlement of restricted stock units or similar awards.</w:t>
      </w:r>
    </w:p>
    <w:p>
      <w:pPr>
        <w:spacing w:after="0" w:line="74" w:lineRule="exact"/>
        <w:rPr>
          <w:sz w:val="20"/>
          <w:szCs w:val="20"/>
          <w:color w:val="auto"/>
        </w:rPr>
      </w:pPr>
    </w:p>
    <w:p>
      <w:pPr>
        <w:ind w:left="60" w:right="80"/>
        <w:spacing w:after="0" w:line="282" w:lineRule="auto"/>
        <w:rPr>
          <w:sz w:val="20"/>
          <w:szCs w:val="20"/>
          <w:color w:val="auto"/>
        </w:rPr>
      </w:pPr>
      <w:r>
        <w:rPr>
          <w:rFonts w:ascii="Arial" w:cs="Arial" w:eastAsia="Arial" w:hAnsi="Arial"/>
          <w:sz w:val="16"/>
          <w:szCs w:val="16"/>
          <w:i w:val="1"/>
          <w:iCs w:val="1"/>
          <w:color w:val="333333"/>
        </w:rPr>
        <w:t xml:space="preserve">Employee Stock Purchase Plans. </w:t>
      </w:r>
      <w:r>
        <w:rPr>
          <w:rFonts w:ascii="Arial" w:cs="Arial" w:eastAsia="Arial" w:hAnsi="Arial"/>
          <w:sz w:val="16"/>
          <w:szCs w:val="16"/>
          <w:color w:val="333333"/>
        </w:rPr>
        <w:t>The trading prohibitions and restrictions set forth in this Policy do not apply to periodic contributions by the Company or</w:t>
      </w:r>
      <w:r>
        <w:rPr>
          <w:rFonts w:ascii="Arial" w:cs="Arial" w:eastAsia="Arial" w:hAnsi="Arial"/>
          <w:sz w:val="16"/>
          <w:szCs w:val="16"/>
          <w:i w:val="1"/>
          <w:iCs w:val="1"/>
          <w:color w:val="333333"/>
        </w:rPr>
        <w:t xml:space="preserve"> </w:t>
      </w:r>
      <w:r>
        <w:rPr>
          <w:rFonts w:ascii="Arial" w:cs="Arial" w:eastAsia="Arial" w:hAnsi="Arial"/>
          <w:sz w:val="16"/>
          <w:szCs w:val="16"/>
          <w:color w:val="333333"/>
        </w:rPr>
        <w:t>employees to employee stock purchase plans or employee benefit plans (e.g., a pension or 401(k) plan) which are used to purchase Company securities pursuant to the employee’s advance instructions. Purchases of Company securities under these plans are automatic and may be made when you are in possession of material nonpublic information. However, no officers or employees may enroll or elect to participate in such plans or alter their instructions regarding the level of withholding or the purchase of Company securities in such plans while in possession of material nonpublic information. Any sale of securities acquired under such plans is subject to the prohibitions and restrictions of this Policy.</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10b5-1 Plans</w:t>
      </w:r>
    </w:p>
    <w:p>
      <w:pPr>
        <w:spacing w:after="0" w:line="64" w:lineRule="exact"/>
        <w:rPr>
          <w:sz w:val="20"/>
          <w:szCs w:val="20"/>
          <w:color w:val="auto"/>
        </w:rPr>
      </w:pPr>
    </w:p>
    <w:p>
      <w:pPr>
        <w:ind w:left="60"/>
        <w:spacing w:after="0" w:line="290" w:lineRule="auto"/>
        <w:rPr>
          <w:sz w:val="20"/>
          <w:szCs w:val="20"/>
          <w:color w:val="auto"/>
        </w:rPr>
      </w:pPr>
      <w:r>
        <w:rPr>
          <w:rFonts w:ascii="Arial" w:cs="Arial" w:eastAsia="Arial" w:hAnsi="Arial"/>
          <w:sz w:val="16"/>
          <w:szCs w:val="16"/>
          <w:color w:val="333333"/>
        </w:rPr>
        <w:t>The SEC has enacted rules that provide an affirmative defense against alleged violations of U.S. federal insider trading laws for transactions under trading plans that meet certain requirements. In general, these rules, as set forth in Rule 10b5-1 under the Securities Exchange Act, provide for an affirmative defense if you enter into a contract, provide instructions or adopt a written plan for trading securities when you are not aware of material nonpublic information. Covered Parties who have a high level of access to material nonpublic information in the usual course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4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960"/>
          </w:cols>
          <w:pgMar w:left="400" w:top="1440" w:right="5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60"/>
        <w:spacing w:after="0" w:line="287" w:lineRule="auto"/>
        <w:rPr>
          <w:sz w:val="20"/>
          <w:szCs w:val="20"/>
          <w:color w:val="auto"/>
        </w:rPr>
      </w:pPr>
      <w:r>
        <w:rPr>
          <w:rFonts w:ascii="Arial" w:cs="Arial" w:eastAsia="Arial" w:hAnsi="Arial"/>
          <w:sz w:val="16"/>
          <w:szCs w:val="16"/>
          <w:color w:val="333333"/>
        </w:rPr>
        <w:t xml:space="preserve">their duties may consider entering into such a trading plan. All trading plans require the prior approval of the Compliance Officer. Transactions under a written trading plan will not be subject to the restrictions in this Policy against trades made while in possession of material nonpublic information or to the pre-clearance procedures or blackout periods established under this Policy if the trading plan is approved by the Compliance Officer and complies with the Company’s “10b5-1 Plan Guidelines” set forth in </w:t>
      </w:r>
      <w:r>
        <w:rPr>
          <w:rFonts w:ascii="Arial" w:cs="Arial" w:eastAsia="Arial" w:hAnsi="Arial"/>
          <w:sz w:val="16"/>
          <w:szCs w:val="16"/>
          <w:u w:val="single" w:color="auto"/>
          <w:color w:val="333333"/>
        </w:rPr>
        <w:t>Appendix IV</w:t>
      </w:r>
      <w:r>
        <w:rPr>
          <w:rFonts w:ascii="Arial" w:cs="Arial" w:eastAsia="Arial" w:hAnsi="Arial"/>
          <w:sz w:val="16"/>
          <w:szCs w:val="16"/>
          <w:color w:val="333333"/>
        </w:rPr>
        <w:t>. Final, executed trading plans approved by the Compliance Officer must be delivered to the Company. The Company may publicly disclose information regarding such trading plans into which you have entered.</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Change in Form of Ownership</w:t>
      </w:r>
    </w:p>
    <w:p>
      <w:pPr>
        <w:spacing w:after="0" w:line="64" w:lineRule="exact"/>
        <w:rPr>
          <w:sz w:val="20"/>
          <w:szCs w:val="20"/>
          <w:color w:val="auto"/>
        </w:rPr>
      </w:pPr>
    </w:p>
    <w:p>
      <w:pPr>
        <w:ind w:left="60" w:right="20"/>
        <w:spacing w:after="0" w:line="313" w:lineRule="auto"/>
        <w:rPr>
          <w:sz w:val="20"/>
          <w:szCs w:val="20"/>
          <w:color w:val="auto"/>
        </w:rPr>
      </w:pPr>
      <w:r>
        <w:rPr>
          <w:rFonts w:ascii="Arial" w:cs="Arial" w:eastAsia="Arial" w:hAnsi="Arial"/>
          <w:sz w:val="16"/>
          <w:szCs w:val="16"/>
          <w:color w:val="333333"/>
        </w:rPr>
        <w:t>The trading prohibitions and restrictions set forth in this Policy do not apply to transactions that involve only a change in the form in which you own securities. For example, you may transfer shares to an inter vivos trust of which you are the sole beneficiary during your lifetime.</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Other Exceptions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Any other exception from this Policy must be approved by the Compliance Officer.</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Unauthorized Disclosure</w:t>
      </w:r>
    </w:p>
    <w:p>
      <w:pPr>
        <w:spacing w:after="0" w:line="243" w:lineRule="exact"/>
        <w:rPr>
          <w:sz w:val="20"/>
          <w:szCs w:val="20"/>
          <w:color w:val="auto"/>
        </w:rPr>
      </w:pPr>
    </w:p>
    <w:p>
      <w:pPr>
        <w:ind w:left="60"/>
        <w:spacing w:after="0" w:line="284" w:lineRule="auto"/>
        <w:rPr>
          <w:sz w:val="20"/>
          <w:szCs w:val="20"/>
          <w:color w:val="auto"/>
        </w:rPr>
      </w:pPr>
      <w:r>
        <w:rPr>
          <w:rFonts w:ascii="Arial" w:cs="Arial" w:eastAsia="Arial" w:hAnsi="Arial"/>
          <w:sz w:val="16"/>
          <w:szCs w:val="16"/>
          <w:color w:val="333333"/>
        </w:rPr>
        <w:t>Maintaining the confidentiality of Company information is essential for competitive, security and other business reasons, as well as to comply with securities laws. Information a Covered Party learns about the Company or its business plans in connection with his or her service to the Company is potentially inside information until publicly disclosed or made available by the Company. The Covered Party should treat all such information as confidential and proprietary to the Company. The Covered Party may not disclose it to others, such as family members, other relatives, or business or social acquaintances, including through social media or electronic communications, who do not need to know it for the Company’s legitimate business reasons. You must also treat material nonpublic information about our business partners with the same care required with respect to such information related directly to the Company.</w:t>
      </w:r>
    </w:p>
    <w:p>
      <w:pPr>
        <w:spacing w:after="0" w:line="64" w:lineRule="exact"/>
        <w:rPr>
          <w:sz w:val="20"/>
          <w:szCs w:val="20"/>
          <w:color w:val="auto"/>
        </w:rPr>
      </w:pPr>
    </w:p>
    <w:p>
      <w:pPr>
        <w:ind w:left="60" w:right="160"/>
        <w:spacing w:after="0" w:line="290" w:lineRule="auto"/>
        <w:rPr>
          <w:sz w:val="20"/>
          <w:szCs w:val="20"/>
          <w:color w:val="auto"/>
        </w:rPr>
      </w:pPr>
      <w:r>
        <w:rPr>
          <w:rFonts w:ascii="Arial" w:cs="Arial" w:eastAsia="Arial" w:hAnsi="Arial"/>
          <w:sz w:val="16"/>
          <w:szCs w:val="16"/>
          <w:color w:val="333333"/>
        </w:rPr>
        <w:t>Also, the timing and nature of the Company’s disclosure of material information (see Disclosure Policy) to outsiders is subject to legal rules, the breach of which could result in substantial liability to the Covered Party, the Company and its management. Accordingly, it is important that only authorized representatives of the Company discuss the business of the Company and its affiliates with news media, securities analysts and investors. Please refer such inquiries to the Investor Relations department of the Company.</w:t>
      </w: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Certain Types of Transactions are Prohibited</w:t>
      </w:r>
    </w:p>
    <w:p>
      <w:pPr>
        <w:spacing w:after="0" w:line="230" w:lineRule="exact"/>
        <w:rPr>
          <w:sz w:val="20"/>
          <w:szCs w:val="20"/>
          <w:color w:val="auto"/>
        </w:rPr>
      </w:pPr>
    </w:p>
    <w:p>
      <w:pPr>
        <w:ind w:left="60" w:right="40"/>
        <w:spacing w:after="0" w:line="290" w:lineRule="auto"/>
        <w:rPr>
          <w:sz w:val="20"/>
          <w:szCs w:val="20"/>
          <w:color w:val="auto"/>
        </w:rPr>
      </w:pPr>
      <w:r>
        <w:rPr>
          <w:rFonts w:ascii="Arial" w:cs="Arial" w:eastAsia="Arial" w:hAnsi="Arial"/>
          <w:sz w:val="16"/>
          <w:szCs w:val="16"/>
          <w:u w:val="single" w:color="auto"/>
          <w:color w:val="333333"/>
        </w:rPr>
        <w:t>Short Sales</w:t>
      </w:r>
      <w:r>
        <w:rPr>
          <w:rFonts w:ascii="Arial" w:cs="Arial" w:eastAsia="Arial" w:hAnsi="Arial"/>
          <w:sz w:val="16"/>
          <w:szCs w:val="16"/>
          <w:color w:val="333333"/>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by Covered Parties are prohibited by this Policy. In addition, Section 16(c) of the Exchange Act expressly prohibits Section 16 Insiders from engaging in short sales.</w:t>
      </w:r>
    </w:p>
    <w:p>
      <w:pPr>
        <w:spacing w:after="0" w:line="71" w:lineRule="exact"/>
        <w:rPr>
          <w:sz w:val="20"/>
          <w:szCs w:val="20"/>
          <w:color w:val="auto"/>
        </w:rPr>
      </w:pPr>
    </w:p>
    <w:p>
      <w:pPr>
        <w:ind w:left="60" w:right="20"/>
        <w:spacing w:after="0" w:line="296" w:lineRule="auto"/>
        <w:rPr>
          <w:sz w:val="20"/>
          <w:szCs w:val="20"/>
          <w:color w:val="auto"/>
        </w:rPr>
      </w:pPr>
      <w:r>
        <w:rPr>
          <w:rFonts w:ascii="Arial" w:cs="Arial" w:eastAsia="Arial" w:hAnsi="Arial"/>
          <w:sz w:val="16"/>
          <w:szCs w:val="16"/>
          <w:u w:val="single" w:color="auto"/>
          <w:color w:val="333333"/>
        </w:rPr>
        <w:t>Hedging</w:t>
      </w:r>
      <w:r>
        <w:rPr>
          <w:rFonts w:ascii="Arial" w:cs="Arial" w:eastAsia="Arial" w:hAnsi="Arial"/>
          <w:sz w:val="16"/>
          <w:szCs w:val="16"/>
          <w:color w:val="333333"/>
        </w:rPr>
        <w:t>. In addition, certain forms of hedging or monetization transactions, such as zero-cost collars and forward sale contracts, allow an individual to lock in much of the value of his or her stock holdings, often in exchange for all or part of the potential for upside appreciation in the stock. These transactions allow the individual to continue to own the covered securities, but without the full risks and rewards of ownership. When that occurs, the individual may no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5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020"/>
          </w:cols>
          <w:pgMar w:left="400" w:top="1440" w:right="47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00"/>
        <w:spacing w:after="0" w:line="313" w:lineRule="auto"/>
        <w:rPr>
          <w:sz w:val="20"/>
          <w:szCs w:val="20"/>
          <w:color w:val="auto"/>
        </w:rPr>
      </w:pPr>
      <w:r>
        <w:rPr>
          <w:rFonts w:ascii="Arial" w:cs="Arial" w:eastAsia="Arial" w:hAnsi="Arial"/>
          <w:sz w:val="16"/>
          <w:szCs w:val="16"/>
          <w:color w:val="333333"/>
        </w:rPr>
        <w:t>longer have the same objectives as the Company’s other stockholders. Therefore, such transactions involving the Company’s securities are prohibited by this Policy.</w:t>
      </w:r>
    </w:p>
    <w:p>
      <w:pPr>
        <w:spacing w:after="0" w:line="54" w:lineRule="exact"/>
        <w:rPr>
          <w:sz w:val="20"/>
          <w:szCs w:val="20"/>
          <w:color w:val="auto"/>
        </w:rPr>
      </w:pPr>
    </w:p>
    <w:p>
      <w:pPr>
        <w:ind w:left="60"/>
        <w:spacing w:after="0" w:line="287" w:lineRule="auto"/>
        <w:rPr>
          <w:sz w:val="20"/>
          <w:szCs w:val="20"/>
          <w:color w:val="auto"/>
        </w:rPr>
      </w:pPr>
      <w:r>
        <w:rPr>
          <w:rFonts w:ascii="Arial" w:cs="Arial" w:eastAsia="Arial" w:hAnsi="Arial"/>
          <w:sz w:val="16"/>
          <w:szCs w:val="16"/>
          <w:u w:val="single" w:color="auto"/>
          <w:color w:val="333333"/>
        </w:rPr>
        <w:t>Margin Accounts and Pledges</w:t>
      </w:r>
      <w:r>
        <w:rPr>
          <w:rFonts w:ascii="Arial" w:cs="Arial" w:eastAsia="Arial" w:hAnsi="Arial"/>
          <w:sz w:val="16"/>
          <w:szCs w:val="16"/>
          <w:color w:val="333333"/>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Parties are prohibited from holding Company securities in a margin account or pledging Company securities as collateral for a loan.</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The Company May Suspend all Trading Activities by Covered Parties</w:t>
      </w:r>
    </w:p>
    <w:p>
      <w:pPr>
        <w:spacing w:after="0" w:line="243" w:lineRule="exact"/>
        <w:rPr>
          <w:sz w:val="20"/>
          <w:szCs w:val="20"/>
          <w:color w:val="auto"/>
        </w:rPr>
      </w:pPr>
    </w:p>
    <w:p>
      <w:pPr>
        <w:ind w:left="60" w:right="80"/>
        <w:spacing w:after="0" w:line="284" w:lineRule="auto"/>
        <w:rPr>
          <w:sz w:val="20"/>
          <w:szCs w:val="20"/>
          <w:color w:val="auto"/>
        </w:rPr>
      </w:pPr>
      <w:r>
        <w:rPr>
          <w:rFonts w:ascii="Arial" w:cs="Arial" w:eastAsia="Arial" w:hAnsi="Arial"/>
          <w:sz w:val="16"/>
          <w:szCs w:val="16"/>
          <w:color w:val="333333"/>
        </w:rPr>
        <w:t>In order to avoid any questions and to protect both Covered Parties and the Company from potential liability, from time to time the Company may impose a “blackout” period during which some or all of the Covered Parties may not trade in Company’s securities. The Compliance Officer may impose such a blackout period if, in his or her judgment, there exists nonpublic information that would make trades by Covered Parties inappropriate in light of the risk that such trades could be viewed as violating applicable securities laws.</w:t>
      </w: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Every Individual is Responsible</w:t>
      </w:r>
    </w:p>
    <w:p>
      <w:pPr>
        <w:spacing w:after="0" w:line="230" w:lineRule="exact"/>
        <w:rPr>
          <w:sz w:val="20"/>
          <w:szCs w:val="20"/>
          <w:color w:val="auto"/>
        </w:rPr>
      </w:pPr>
    </w:p>
    <w:p>
      <w:pPr>
        <w:ind w:left="60" w:right="520"/>
        <w:spacing w:after="0" w:line="313" w:lineRule="auto"/>
        <w:rPr>
          <w:sz w:val="20"/>
          <w:szCs w:val="20"/>
          <w:color w:val="auto"/>
        </w:rPr>
      </w:pPr>
      <w:r>
        <w:rPr>
          <w:rFonts w:ascii="Arial" w:cs="Arial" w:eastAsia="Arial" w:hAnsi="Arial"/>
          <w:sz w:val="16"/>
          <w:szCs w:val="16"/>
          <w:color w:val="333333"/>
        </w:rPr>
        <w:t>Each Covered Party should remember that the ultimate responsibility for adhering to this Policy and avoiding improper trading rests with the Covered Party.</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This Policy Continues to Apply Following Termination of Service</w:t>
      </w:r>
    </w:p>
    <w:p>
      <w:pPr>
        <w:spacing w:after="0" w:line="243" w:lineRule="exact"/>
        <w:rPr>
          <w:sz w:val="20"/>
          <w:szCs w:val="20"/>
          <w:color w:val="auto"/>
        </w:rPr>
      </w:pPr>
    </w:p>
    <w:p>
      <w:pPr>
        <w:ind w:left="60" w:right="100"/>
        <w:spacing w:after="0" w:line="296" w:lineRule="auto"/>
        <w:rPr>
          <w:sz w:val="20"/>
          <w:szCs w:val="20"/>
          <w:color w:val="auto"/>
        </w:rPr>
      </w:pPr>
      <w:r>
        <w:rPr>
          <w:rFonts w:ascii="Arial" w:cs="Arial" w:eastAsia="Arial" w:hAnsi="Arial"/>
          <w:sz w:val="16"/>
          <w:szCs w:val="16"/>
          <w:color w:val="333333"/>
        </w:rPr>
        <w:t>The Policy continues to apply to transactions in the Company’s securities even after termination of service to the Company. If a Covered Party is in possession of material nonpublic information when his or her service to the Company terminates, he or she may not trade in the Company’s securities until that information has become public or is no longer material.</w:t>
      </w: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The Compliance Officer is Available to Answer Questions About This Policy</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Please direct all inquiries regarding any of the provisions or procedures of this Policy to the Compliance Officer.</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This Policy is Subject to Revision</w:t>
      </w:r>
    </w:p>
    <w:p>
      <w:pPr>
        <w:spacing w:after="0" w:line="243" w:lineRule="exact"/>
        <w:rPr>
          <w:sz w:val="20"/>
          <w:szCs w:val="20"/>
          <w:color w:val="auto"/>
        </w:rPr>
      </w:pPr>
    </w:p>
    <w:p>
      <w:pPr>
        <w:ind w:left="60" w:right="20"/>
        <w:spacing w:after="0" w:line="313" w:lineRule="auto"/>
        <w:rPr>
          <w:sz w:val="20"/>
          <w:szCs w:val="20"/>
          <w:color w:val="auto"/>
        </w:rPr>
      </w:pPr>
      <w:r>
        <w:rPr>
          <w:rFonts w:ascii="Arial" w:cs="Arial" w:eastAsia="Arial" w:hAnsi="Arial"/>
          <w:sz w:val="16"/>
          <w:szCs w:val="16"/>
          <w:color w:val="333333"/>
        </w:rPr>
        <w:t>The Company may change the terms of this Policy from time to time to respond to developments in law and practice. The Company will take steps to inform all affected persons of any material change to this Policy.</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All Covered Parties Must Acknowledge Their Agreement to Comply with This Policy</w:t>
      </w:r>
    </w:p>
    <w:p>
      <w:pPr>
        <w:sectPr>
          <w:pgSz w:w="11900" w:h="16838" w:orient="portrait"/>
          <w:cols w:equalWidth="0" w:num="1">
            <w:col w:w="11080"/>
          </w:cols>
          <w:pgMar w:left="40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6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080"/>
          </w:cols>
          <w:pgMar w:left="400" w:top="1440" w:right="419" w:bottom="1440"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340"/>
        <w:spacing w:after="0" w:line="296" w:lineRule="auto"/>
        <w:rPr>
          <w:sz w:val="20"/>
          <w:szCs w:val="20"/>
          <w:color w:val="auto"/>
        </w:rPr>
      </w:pPr>
      <w:r>
        <w:rPr>
          <w:rFonts w:ascii="Arial" w:cs="Arial" w:eastAsia="Arial" w:hAnsi="Arial"/>
          <w:sz w:val="16"/>
          <w:szCs w:val="16"/>
          <w:color w:val="333333"/>
        </w:rPr>
        <w:t>Upon first receiving a copy of the Policy or any revised versions, each Covered Party must sign an acknowledgment that he or she has received a copy and agrees to comply with the Policy. This acknowledgment and agreement will constitute consent for the Company to impose sanctions for violation of this Policy and to issue any stop-transfer orders to the Company’s transfer agent to enforce compliance with this Policy.</w:t>
      </w: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Nominating and Corporate Governance Committee</w:t>
      </w:r>
    </w:p>
    <w:p>
      <w:pPr>
        <w:spacing w:after="0" w:line="243" w:lineRule="exact"/>
        <w:rPr>
          <w:sz w:val="20"/>
          <w:szCs w:val="20"/>
          <w:color w:val="auto"/>
        </w:rPr>
      </w:pPr>
    </w:p>
    <w:p>
      <w:pPr>
        <w:ind w:left="60"/>
        <w:spacing w:after="0" w:line="296" w:lineRule="auto"/>
        <w:rPr>
          <w:sz w:val="20"/>
          <w:szCs w:val="20"/>
          <w:color w:val="auto"/>
        </w:rPr>
      </w:pPr>
      <w:r>
        <w:rPr>
          <w:rFonts w:ascii="Arial" w:cs="Arial" w:eastAsia="Arial" w:hAnsi="Arial"/>
          <w:sz w:val="16"/>
          <w:szCs w:val="16"/>
          <w:color w:val="333333"/>
        </w:rPr>
        <w:t>The Nominating and Corporate Governance Committee will receive periodic reports from the Compliance Officer regarding material developments related to the Policy and shall be responsible for recommending any modification to this Policy that such Committee deems necessary or advisable, to the Board of Directors.</w:t>
      </w: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Amendments</w:t>
      </w:r>
    </w:p>
    <w:p>
      <w:pPr>
        <w:spacing w:after="0" w:line="230" w:lineRule="exact"/>
        <w:rPr>
          <w:sz w:val="20"/>
          <w:szCs w:val="20"/>
          <w:color w:val="auto"/>
        </w:rPr>
      </w:pPr>
    </w:p>
    <w:p>
      <w:pPr>
        <w:ind w:left="60" w:right="200"/>
        <w:spacing w:after="0" w:line="296" w:lineRule="auto"/>
        <w:rPr>
          <w:sz w:val="20"/>
          <w:szCs w:val="20"/>
          <w:color w:val="auto"/>
        </w:rPr>
      </w:pPr>
      <w:r>
        <w:rPr>
          <w:rFonts w:ascii="Arial" w:cs="Arial" w:eastAsia="Arial" w:hAnsi="Arial"/>
          <w:sz w:val="16"/>
          <w:szCs w:val="16"/>
          <w:color w:val="333333"/>
        </w:rPr>
        <w:t>We are committed to continuously reviewing and updating our policies and procedures. The Company therefore reserves the right to amend, alter or terminate this Policy at any time and for any reason, subject to applicable law. A current copy of the Company’s Policy may be obtained by contacting the Compliance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7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080"/>
          </w:cols>
          <w:pgMar w:left="400" w:top="1440" w:right="4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Appendix I</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Requirements Applicable to Section 16 Insiders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Overview</w:t>
      </w:r>
    </w:p>
    <w:p>
      <w:pPr>
        <w:spacing w:after="0" w:line="64" w:lineRule="exact"/>
        <w:rPr>
          <w:sz w:val="20"/>
          <w:szCs w:val="20"/>
          <w:color w:val="auto"/>
        </w:rPr>
      </w:pPr>
    </w:p>
    <w:p>
      <w:pPr>
        <w:ind w:left="60"/>
        <w:spacing w:after="0" w:line="283" w:lineRule="auto"/>
        <w:rPr>
          <w:sz w:val="20"/>
          <w:szCs w:val="20"/>
          <w:color w:val="auto"/>
        </w:rPr>
      </w:pPr>
      <w:r>
        <w:rPr>
          <w:rFonts w:ascii="Arial" w:cs="Arial" w:eastAsia="Arial" w:hAnsi="Arial"/>
          <w:sz w:val="16"/>
          <w:szCs w:val="16"/>
          <w:color w:val="333333"/>
        </w:rPr>
        <w:t xml:space="preserve">Most purchases, sales and gifts of Company securities by its directors, executive officers and greater-than-10% stockholders are subject to Section 16 of the Exchange Act and the rules and regulations promulgated by the SEC under Section 16 of the Exchange Act. An executive officer is generally defined as the president, principal financial officer, principal accounting officer or controller, any vice president in charge of a principal business unit, division or function or any other officer or person who performs a policy making function. The Company has designated those persons listed on </w:t>
      </w:r>
      <w:r>
        <w:rPr>
          <w:rFonts w:ascii="Arial" w:cs="Arial" w:eastAsia="Arial" w:hAnsi="Arial"/>
          <w:sz w:val="16"/>
          <w:szCs w:val="16"/>
          <w:u w:val="single" w:color="auto"/>
          <w:color w:val="333333"/>
        </w:rPr>
        <w:t>Exhibit A</w:t>
      </w:r>
      <w:r>
        <w:rPr>
          <w:rFonts w:ascii="Arial" w:cs="Arial" w:eastAsia="Arial" w:hAnsi="Arial"/>
          <w:sz w:val="16"/>
          <w:szCs w:val="16"/>
          <w:color w:val="333333"/>
        </w:rPr>
        <w:t xml:space="preserve"> attached hereto as the directors and executive officers who are subject to the reporting provisions and trading restrictions of Section 16 of the Exchange Act. Each person listed on </w:t>
      </w:r>
      <w:r>
        <w:rPr>
          <w:rFonts w:ascii="Arial" w:cs="Arial" w:eastAsia="Arial" w:hAnsi="Arial"/>
          <w:sz w:val="16"/>
          <w:szCs w:val="16"/>
          <w:u w:val="single" w:color="auto"/>
          <w:color w:val="333333"/>
        </w:rPr>
        <w:t>Exhibit A</w:t>
      </w:r>
      <w:r>
        <w:rPr>
          <w:rFonts w:ascii="Arial" w:cs="Arial" w:eastAsia="Arial" w:hAnsi="Arial"/>
          <w:sz w:val="16"/>
          <w:szCs w:val="16"/>
          <w:color w:val="333333"/>
        </w:rPr>
        <w:t xml:space="preserve"> is referred to herein as a “</w:t>
      </w:r>
      <w:r>
        <w:rPr>
          <w:rFonts w:ascii="Arial" w:cs="Arial" w:eastAsia="Arial" w:hAnsi="Arial"/>
          <w:sz w:val="16"/>
          <w:szCs w:val="16"/>
          <w:b w:val="1"/>
          <w:bCs w:val="1"/>
          <w:i w:val="1"/>
          <w:iCs w:val="1"/>
          <w:color w:val="333333"/>
        </w:rPr>
        <w:t>Section 16 Insider</w:t>
      </w:r>
      <w:r>
        <w:rPr>
          <w:rFonts w:ascii="Arial" w:cs="Arial" w:eastAsia="Arial" w:hAnsi="Arial"/>
          <w:sz w:val="16"/>
          <w:szCs w:val="16"/>
          <w:color w:val="333333"/>
        </w:rPr>
        <w:t xml:space="preserve">.” Section 16 Insiders are subject to the additional restrictions and requirements set forth in this </w:t>
      </w:r>
      <w:r>
        <w:rPr>
          <w:rFonts w:ascii="Arial" w:cs="Arial" w:eastAsia="Arial" w:hAnsi="Arial"/>
          <w:sz w:val="16"/>
          <w:szCs w:val="16"/>
          <w:u w:val="single" w:color="auto"/>
          <w:color w:val="333333"/>
        </w:rPr>
        <w:t>Appendix I</w:t>
      </w:r>
      <w:r>
        <w:rPr>
          <w:rFonts w:ascii="Arial" w:cs="Arial" w:eastAsia="Arial" w:hAnsi="Arial"/>
          <w:sz w:val="16"/>
          <w:szCs w:val="16"/>
          <w:color w:val="333333"/>
        </w:rPr>
        <w:t xml:space="preserve">. As with the other provisions of this Policy, Section 16 Insiders are responsible for ensuring compliance with this </w:t>
      </w:r>
      <w:r>
        <w:rPr>
          <w:rFonts w:ascii="Arial" w:cs="Arial" w:eastAsia="Arial" w:hAnsi="Arial"/>
          <w:sz w:val="16"/>
          <w:szCs w:val="16"/>
          <w:u w:val="single" w:color="auto"/>
          <w:color w:val="333333"/>
        </w:rPr>
        <w:t>Appendix I</w:t>
      </w:r>
      <w:r>
        <w:rPr>
          <w:rFonts w:ascii="Arial" w:cs="Arial" w:eastAsia="Arial" w:hAnsi="Arial"/>
          <w:sz w:val="16"/>
          <w:szCs w:val="16"/>
          <w:color w:val="333333"/>
        </w:rPr>
        <w:t xml:space="preserve"> by family members and members of their households and by entities over which they exercise voting or investment control.</w:t>
      </w:r>
    </w:p>
    <w:p>
      <w:pPr>
        <w:spacing w:after="0" w:line="240"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Designated Brokers</w:t>
      </w:r>
    </w:p>
    <w:p>
      <w:pPr>
        <w:spacing w:after="0" w:line="64" w:lineRule="exact"/>
        <w:rPr>
          <w:sz w:val="20"/>
          <w:szCs w:val="20"/>
          <w:color w:val="auto"/>
        </w:rPr>
      </w:pPr>
    </w:p>
    <w:p>
      <w:pPr>
        <w:ind w:left="60" w:right="140"/>
        <w:spacing w:after="0" w:line="296" w:lineRule="auto"/>
        <w:rPr>
          <w:sz w:val="20"/>
          <w:szCs w:val="20"/>
          <w:color w:val="auto"/>
        </w:rPr>
      </w:pPr>
      <w:r>
        <w:rPr>
          <w:rFonts w:ascii="Arial" w:cs="Arial" w:eastAsia="Arial" w:hAnsi="Arial"/>
          <w:sz w:val="16"/>
          <w:szCs w:val="16"/>
          <w:color w:val="333333"/>
        </w:rPr>
        <w:t>Each market transaction in the Company’s stock by a Section 16 Insider, or any person whose trades must be reported by that Section 16 Insider on Form 4 (such as a member of the Section 16 Insider’s immediate family who lives in the Section 16 Insider’s household), must be executed by a broker designated by the Company unless the Section 16 Insider has received authorization from the Compliance Officer to use a different broker.</w:t>
      </w:r>
    </w:p>
    <w:p>
      <w:pPr>
        <w:spacing w:after="0" w:line="66" w:lineRule="exact"/>
        <w:rPr>
          <w:sz w:val="20"/>
          <w:szCs w:val="20"/>
          <w:color w:val="auto"/>
        </w:rPr>
      </w:pPr>
    </w:p>
    <w:p>
      <w:pPr>
        <w:ind w:left="60" w:right="220"/>
        <w:spacing w:after="0" w:line="313" w:lineRule="auto"/>
        <w:rPr>
          <w:sz w:val="20"/>
          <w:szCs w:val="20"/>
          <w:color w:val="auto"/>
        </w:rPr>
      </w:pPr>
      <w:r>
        <w:rPr>
          <w:rFonts w:ascii="Arial" w:cs="Arial" w:eastAsia="Arial" w:hAnsi="Arial"/>
          <w:sz w:val="16"/>
          <w:szCs w:val="16"/>
          <w:color w:val="333333"/>
        </w:rPr>
        <w:t>A Section 16 Insider and any broker that handles the Section 16 Insider’s transactions in the Company’s stock will be required to enter into an agreement whereby:</w:t>
      </w:r>
    </w:p>
    <w:p>
      <w:pPr>
        <w:spacing w:after="0" w:line="54" w:lineRule="exact"/>
        <w:rPr>
          <w:sz w:val="20"/>
          <w:szCs w:val="20"/>
          <w:color w:val="auto"/>
        </w:rPr>
      </w:pPr>
    </w:p>
    <w:p>
      <w:pPr>
        <w:ind w:left="240" w:right="380" w:hanging="84"/>
        <w:spacing w:after="0" w:line="296" w:lineRule="auto"/>
        <w:rPr>
          <w:sz w:val="20"/>
          <w:szCs w:val="20"/>
          <w:color w:val="auto"/>
        </w:rPr>
      </w:pPr>
      <w:r>
        <w:rPr>
          <w:rFonts w:ascii="Arial" w:cs="Arial" w:eastAsia="Arial" w:hAnsi="Arial"/>
          <w:sz w:val="16"/>
          <w:szCs w:val="16"/>
          <w:color w:val="333333"/>
        </w:rPr>
        <w:t>The Section 16 Insider authorizes the broker to immediately report directly to the Company the details of all transactions in Company equity securities executed by the broker in the Insider’s account and the accounts of all others designated by the Section 16 Insider whose transactions may be attributed to the Section 16 Insider.</w:t>
      </w:r>
    </w:p>
    <w:p>
      <w:pPr>
        <w:spacing w:after="0" w:line="66" w:lineRule="exact"/>
        <w:rPr>
          <w:sz w:val="20"/>
          <w:szCs w:val="20"/>
          <w:color w:val="auto"/>
        </w:rPr>
      </w:pPr>
    </w:p>
    <w:p>
      <w:pPr>
        <w:ind w:left="240" w:right="140" w:hanging="84"/>
        <w:spacing w:after="0" w:line="313" w:lineRule="auto"/>
        <w:rPr>
          <w:sz w:val="20"/>
          <w:szCs w:val="20"/>
          <w:color w:val="auto"/>
        </w:rPr>
      </w:pPr>
      <w:r>
        <w:rPr>
          <w:rFonts w:ascii="Arial" w:cs="Arial" w:eastAsia="Arial" w:hAnsi="Arial"/>
          <w:sz w:val="16"/>
          <w:szCs w:val="16"/>
          <w:color w:val="333333"/>
        </w:rPr>
        <w:t>The broker agrees not to execute any transaction for the Section 16 Insider or any of the foregoing designated persons (other than under a pre-approved Rule 10b5-1 trading plan) until the broker has verified with the Company that the transaction has been pre-cleared.</w:t>
      </w:r>
    </w:p>
    <w:p>
      <w:pPr>
        <w:spacing w:after="0" w:line="54" w:lineRule="exact"/>
        <w:rPr>
          <w:sz w:val="20"/>
          <w:szCs w:val="20"/>
          <w:color w:val="auto"/>
        </w:rPr>
      </w:pPr>
    </w:p>
    <w:p>
      <w:pPr>
        <w:ind w:left="240" w:right="260" w:hanging="84"/>
        <w:spacing w:after="0" w:line="313" w:lineRule="auto"/>
        <w:rPr>
          <w:sz w:val="20"/>
          <w:szCs w:val="20"/>
          <w:color w:val="auto"/>
        </w:rPr>
      </w:pPr>
      <w:r>
        <w:rPr>
          <w:rFonts w:ascii="Arial" w:cs="Arial" w:eastAsia="Arial" w:hAnsi="Arial"/>
          <w:sz w:val="16"/>
          <w:szCs w:val="16"/>
          <w:color w:val="333333"/>
        </w:rPr>
        <w:t>The broker agrees to immediately report the transaction details (including transactions under Rule 10b5-1 trading plans) directly to the Company and to the Section 16 Insider by telephone and in writing (by email).</w:t>
      </w:r>
    </w:p>
    <w:p>
      <w:pPr>
        <w:spacing w:after="0" w:line="54" w:lineRule="exact"/>
        <w:rPr>
          <w:sz w:val="20"/>
          <w:szCs w:val="20"/>
          <w:color w:val="auto"/>
        </w:rPr>
      </w:pPr>
    </w:p>
    <w:p>
      <w:pPr>
        <w:ind w:left="60" w:right="280"/>
        <w:spacing w:after="0" w:line="313" w:lineRule="auto"/>
        <w:rPr>
          <w:sz w:val="20"/>
          <w:szCs w:val="20"/>
          <w:color w:val="auto"/>
        </w:rPr>
      </w:pPr>
      <w:r>
        <w:rPr>
          <w:rFonts w:ascii="Arial" w:cs="Arial" w:eastAsia="Arial" w:hAnsi="Arial"/>
          <w:sz w:val="16"/>
          <w:szCs w:val="16"/>
          <w:color w:val="333333"/>
        </w:rPr>
        <w:t>Should a Section 16 Insider wish to use a broker other than one of the Company’s designated brokers, the Section 16 Insider should submit a request to use that broker for approval by the Compliance Officer.</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Reporting of Transactions</w:t>
      </w:r>
    </w:p>
    <w:p>
      <w:pPr>
        <w:spacing w:after="0" w:line="64" w:lineRule="exact"/>
        <w:rPr>
          <w:sz w:val="20"/>
          <w:szCs w:val="20"/>
          <w:color w:val="auto"/>
        </w:rPr>
      </w:pPr>
    </w:p>
    <w:p>
      <w:pPr>
        <w:ind w:left="60" w:right="60"/>
        <w:spacing w:after="0" w:line="284" w:lineRule="auto"/>
        <w:rPr>
          <w:sz w:val="20"/>
          <w:szCs w:val="20"/>
          <w:color w:val="auto"/>
        </w:rPr>
      </w:pPr>
      <w:r>
        <w:rPr>
          <w:rFonts w:ascii="Arial" w:cs="Arial" w:eastAsia="Arial" w:hAnsi="Arial"/>
          <w:sz w:val="16"/>
          <w:szCs w:val="16"/>
          <w:color w:val="333333"/>
        </w:rPr>
        <w:t xml:space="preserve">Under Section 16 of the Exchange Act, most trades by Section 16 Insiders are subject to reporting on Form 4 within two business days following the trade date (which in the case of an open market trade is the date when the broker places the buy or sell order, not the date when the trade is settled). To facilitate timely reporting under Section 16 of transactions in Company stock, Section 16 Insiders are required to (a) report the details of each transaction (including gift transactions) </w:t>
      </w:r>
      <w:r>
        <w:rPr>
          <w:rFonts w:ascii="Arial" w:cs="Arial" w:eastAsia="Arial" w:hAnsi="Arial"/>
          <w:sz w:val="16"/>
          <w:szCs w:val="16"/>
          <w:b w:val="1"/>
          <w:bCs w:val="1"/>
          <w:i w:val="1"/>
          <w:iCs w:val="1"/>
          <w:color w:val="333333"/>
        </w:rPr>
        <w:t>immediately</w:t>
      </w:r>
      <w:r>
        <w:rPr>
          <w:rFonts w:ascii="Arial" w:cs="Arial" w:eastAsia="Arial" w:hAnsi="Arial"/>
          <w:sz w:val="16"/>
          <w:szCs w:val="16"/>
          <w:color w:val="333333"/>
        </w:rPr>
        <w:t xml:space="preserve"> after it is executed and (b) arrange with persons whose trades must be reported by the Section 16 Insider under Section 16 (such as immediate family members living in the Section 16 Insider’s household) to </w:t>
      </w:r>
      <w:r>
        <w:rPr>
          <w:rFonts w:ascii="Arial" w:cs="Arial" w:eastAsia="Arial" w:hAnsi="Arial"/>
          <w:sz w:val="16"/>
          <w:szCs w:val="16"/>
          <w:b w:val="1"/>
          <w:bCs w:val="1"/>
          <w:i w:val="1"/>
          <w:iCs w:val="1"/>
          <w:color w:val="333333"/>
        </w:rPr>
        <w:t>immediately</w:t>
      </w:r>
      <w:r>
        <w:rPr>
          <w:rFonts w:ascii="Arial" w:cs="Arial" w:eastAsia="Arial" w:hAnsi="Arial"/>
          <w:sz w:val="16"/>
          <w:szCs w:val="16"/>
          <w:color w:val="333333"/>
        </w:rPr>
        <w:t xml:space="preserve"> report directly to the Company and to the Section 16 Insider the details of any transactions they have in the Company’s stock. To facilitate timely reporting, all transactions that are subject to Section 16 must be reported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8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100"/>
          </w:cols>
          <w:pgMar w:left="400" w:top="1440" w:right="39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00"/>
        <w:spacing w:after="0" w:line="296" w:lineRule="auto"/>
        <w:rPr>
          <w:sz w:val="20"/>
          <w:szCs w:val="20"/>
          <w:color w:val="auto"/>
        </w:rPr>
      </w:pPr>
      <w:r>
        <w:rPr>
          <w:rFonts w:ascii="Arial" w:cs="Arial" w:eastAsia="Arial" w:hAnsi="Arial"/>
          <w:sz w:val="16"/>
          <w:szCs w:val="16"/>
          <w:color w:val="333333"/>
        </w:rPr>
        <w:t xml:space="preserve">to the Company </w:t>
      </w:r>
      <w:r>
        <w:rPr>
          <w:rFonts w:ascii="Arial" w:cs="Arial" w:eastAsia="Arial" w:hAnsi="Arial"/>
          <w:sz w:val="16"/>
          <w:szCs w:val="16"/>
          <w:b w:val="1"/>
          <w:bCs w:val="1"/>
          <w:i w:val="1"/>
          <w:iCs w:val="1"/>
          <w:color w:val="333333"/>
        </w:rPr>
        <w:t>on the same day as the trade date</w:t>
      </w:r>
      <w:r>
        <w:rPr>
          <w:rFonts w:ascii="Arial" w:cs="Arial" w:eastAsia="Arial" w:hAnsi="Arial"/>
          <w:sz w:val="16"/>
          <w:szCs w:val="16"/>
          <w:color w:val="333333"/>
        </w:rPr>
        <w:t>, or, with respect to transactions effected pursuant to a Rule 10b5-1 plan, on the day the Section 16 Insider is advised of the terms of the transaction. These reporting requirements are applicable even if a trade has been pre-cleared. Gifts of Company securities must also be reported to the SEC within a two-business day period after the gift.</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Transaction details to be reported include: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Transaction date (trade date).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Number of shares involved.</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Price per share at which the transaction was executed (before addition or deduction of brokerage commission and other transaction fees).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If the transaction was a stock option exercise, the specific option exercised.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Contact information for the broker who executed the transaction.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specific representation as to whether the transaction was intended to satisfy the affirmative defense conditions of Rule 10b5-1(c).</w:t>
      </w:r>
    </w:p>
    <w:p>
      <w:pPr>
        <w:spacing w:after="0" w:line="136" w:lineRule="exact"/>
        <w:rPr>
          <w:sz w:val="20"/>
          <w:szCs w:val="20"/>
          <w:color w:val="auto"/>
        </w:rPr>
      </w:pPr>
    </w:p>
    <w:p>
      <w:pPr>
        <w:ind w:left="60"/>
        <w:spacing w:after="0" w:line="313" w:lineRule="auto"/>
        <w:rPr>
          <w:sz w:val="20"/>
          <w:szCs w:val="20"/>
          <w:color w:val="auto"/>
        </w:rPr>
      </w:pPr>
      <w:r>
        <w:rPr>
          <w:rFonts w:ascii="Arial" w:cs="Arial" w:eastAsia="Arial" w:hAnsi="Arial"/>
          <w:sz w:val="16"/>
          <w:szCs w:val="16"/>
          <w:color w:val="333333"/>
        </w:rPr>
        <w:t>The transaction details must be reported to the Compliance Officer, with copies to the Company personnel who will assist the Section 16 Insider in preparing his or her Form 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9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100"/>
          </w:cols>
          <w:pgMar w:left="400" w:top="1440" w:right="39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Appendix II</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F60FD"/>
        </w:rPr>
        <w:t>Special Restrictions on Transactions in Company Securities During Trading Blackout Periods</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Overview</w:t>
      </w:r>
    </w:p>
    <w:p>
      <w:pPr>
        <w:spacing w:after="0" w:line="78" w:lineRule="exact"/>
        <w:rPr>
          <w:sz w:val="20"/>
          <w:szCs w:val="20"/>
          <w:color w:val="auto"/>
        </w:rPr>
      </w:pPr>
    </w:p>
    <w:p>
      <w:pPr>
        <w:ind w:left="60" w:right="440"/>
        <w:spacing w:after="0" w:line="284" w:lineRule="auto"/>
        <w:rPr>
          <w:sz w:val="20"/>
          <w:szCs w:val="20"/>
          <w:color w:val="auto"/>
        </w:rPr>
      </w:pPr>
      <w:r>
        <w:rPr>
          <w:rFonts w:ascii="Arial" w:cs="Arial" w:eastAsia="Arial" w:hAnsi="Arial"/>
          <w:sz w:val="16"/>
          <w:szCs w:val="16"/>
          <w:color w:val="333333"/>
        </w:rPr>
        <w:t xml:space="preserve">To minimize the risk of apparent or actual violations of the rules governing insider trading, we have adopted these special restrictions relating to transactions in Company securities during designated trading blackout periods by the individuals listed on </w:t>
      </w:r>
      <w:r>
        <w:rPr>
          <w:rFonts w:ascii="Arial" w:cs="Arial" w:eastAsia="Arial" w:hAnsi="Arial"/>
          <w:sz w:val="16"/>
          <w:szCs w:val="16"/>
          <w:u w:val="single" w:color="auto"/>
          <w:color w:val="333333"/>
        </w:rPr>
        <w:t>Exhibit B</w:t>
      </w:r>
      <w:r>
        <w:rPr>
          <w:rFonts w:ascii="Arial" w:cs="Arial" w:eastAsia="Arial" w:hAnsi="Arial"/>
          <w:sz w:val="16"/>
          <w:szCs w:val="16"/>
          <w:color w:val="333333"/>
        </w:rPr>
        <w:t xml:space="preserve">. Each person listed on </w:t>
      </w:r>
      <w:r>
        <w:rPr>
          <w:rFonts w:ascii="Arial" w:cs="Arial" w:eastAsia="Arial" w:hAnsi="Arial"/>
          <w:sz w:val="16"/>
          <w:szCs w:val="16"/>
          <w:u w:val="single" w:color="auto"/>
          <w:color w:val="333333"/>
        </w:rPr>
        <w:t>Exhibit B</w:t>
      </w:r>
      <w:r>
        <w:rPr>
          <w:rFonts w:ascii="Arial" w:cs="Arial" w:eastAsia="Arial" w:hAnsi="Arial"/>
          <w:sz w:val="16"/>
          <w:szCs w:val="16"/>
          <w:color w:val="333333"/>
        </w:rPr>
        <w:t xml:space="preserve"> is referred to herein as an “</w:t>
      </w:r>
      <w:r>
        <w:rPr>
          <w:rFonts w:ascii="Arial" w:cs="Arial" w:eastAsia="Arial" w:hAnsi="Arial"/>
          <w:sz w:val="16"/>
          <w:szCs w:val="16"/>
          <w:b w:val="1"/>
          <w:bCs w:val="1"/>
          <w:i w:val="1"/>
          <w:iCs w:val="1"/>
          <w:color w:val="333333"/>
        </w:rPr>
        <w:t>Insider</w:t>
      </w:r>
      <w:r>
        <w:rPr>
          <w:rFonts w:ascii="Arial" w:cs="Arial" w:eastAsia="Arial" w:hAnsi="Arial"/>
          <w:sz w:val="16"/>
          <w:szCs w:val="16"/>
          <w:color w:val="333333"/>
        </w:rPr>
        <w:t xml:space="preserve">.” As with the other provisions of this Policy, Insiders are responsible for ensuring compliance with this </w:t>
      </w:r>
      <w:r>
        <w:rPr>
          <w:rFonts w:ascii="Arial" w:cs="Arial" w:eastAsia="Arial" w:hAnsi="Arial"/>
          <w:sz w:val="16"/>
          <w:szCs w:val="16"/>
          <w:u w:val="single" w:color="auto"/>
          <w:color w:val="333333"/>
        </w:rPr>
        <w:t>Appendix II</w:t>
      </w:r>
      <w:r>
        <w:rPr>
          <w:rFonts w:ascii="Arial" w:cs="Arial" w:eastAsia="Arial" w:hAnsi="Arial"/>
          <w:sz w:val="16"/>
          <w:szCs w:val="16"/>
          <w:color w:val="333333"/>
        </w:rPr>
        <w:t xml:space="preserve"> by family members and members of their households and by entities over which they exercise voting or investment control.</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Trading Window</w:t>
      </w:r>
    </w:p>
    <w:p>
      <w:pPr>
        <w:spacing w:after="0" w:line="78" w:lineRule="exact"/>
        <w:rPr>
          <w:sz w:val="20"/>
          <w:szCs w:val="20"/>
          <w:color w:val="auto"/>
        </w:rPr>
      </w:pPr>
    </w:p>
    <w:p>
      <w:pPr>
        <w:ind w:left="60" w:right="380"/>
        <w:spacing w:after="0" w:line="278" w:lineRule="auto"/>
        <w:rPr>
          <w:sz w:val="20"/>
          <w:szCs w:val="20"/>
          <w:color w:val="auto"/>
        </w:rPr>
      </w:pPr>
      <w:r>
        <w:rPr>
          <w:rFonts w:ascii="Arial" w:cs="Arial" w:eastAsia="Arial" w:hAnsi="Arial"/>
          <w:sz w:val="16"/>
          <w:szCs w:val="16"/>
          <w:color w:val="333333"/>
        </w:rPr>
        <w:t>Any trade by an Insider, other than transactions that are not subject to the Policy or transactions pursuant to a Rule 10b5-1 trading plan approved in accordance with this Policy, will be permitted only during an open “</w:t>
      </w:r>
      <w:r>
        <w:rPr>
          <w:rFonts w:ascii="Arial" w:cs="Arial" w:eastAsia="Arial" w:hAnsi="Arial"/>
          <w:sz w:val="16"/>
          <w:szCs w:val="16"/>
          <w:b w:val="1"/>
          <w:bCs w:val="1"/>
          <w:i w:val="1"/>
          <w:iCs w:val="1"/>
          <w:color w:val="333333"/>
        </w:rPr>
        <w:t>trading window</w:t>
      </w:r>
      <w:r>
        <w:rPr>
          <w:rFonts w:ascii="Arial" w:cs="Arial" w:eastAsia="Arial" w:hAnsi="Arial"/>
          <w:sz w:val="16"/>
          <w:szCs w:val="16"/>
          <w:color w:val="333333"/>
        </w:rPr>
        <w:t xml:space="preserve">.” The trading window generally will open </w:t>
      </w:r>
      <w:r>
        <w:rPr>
          <w:rFonts w:ascii="Arial" w:cs="Arial" w:eastAsia="Arial" w:hAnsi="Arial"/>
          <w:sz w:val="16"/>
          <w:szCs w:val="16"/>
          <w:b w:val="1"/>
          <w:bCs w:val="1"/>
          <w:color w:val="333333"/>
        </w:rPr>
        <w:t>after the first full trading</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day after the release of the quarter-end results and will close on the last business day before the last month of the quarter. </w:t>
      </w:r>
      <w:r>
        <w:rPr>
          <w:rFonts w:ascii="Arial" w:cs="Arial" w:eastAsia="Arial" w:hAnsi="Arial"/>
          <w:sz w:val="16"/>
          <w:szCs w:val="16"/>
          <w:color w:val="333333"/>
        </w:rPr>
        <w:t>For example, if</w:t>
      </w:r>
      <w:r>
        <w:rPr>
          <w:rFonts w:ascii="Arial" w:cs="Arial" w:eastAsia="Arial" w:hAnsi="Arial"/>
          <w:sz w:val="16"/>
          <w:szCs w:val="16"/>
          <w:b w:val="1"/>
          <w:bCs w:val="1"/>
          <w:color w:val="333333"/>
        </w:rPr>
        <w:t xml:space="preserve"> </w:t>
      </w:r>
      <w:r>
        <w:rPr>
          <w:rFonts w:ascii="Arial" w:cs="Arial" w:eastAsia="Arial" w:hAnsi="Arial"/>
          <w:sz w:val="16"/>
          <w:szCs w:val="16"/>
          <w:color w:val="333333"/>
        </w:rPr>
        <w:t>earnings are announced before markets open on a Monday, the trading window will open at the beginning of trading on Tuesday.</w:t>
      </w:r>
    </w:p>
    <w:p>
      <w:pPr>
        <w:spacing w:after="0" w:line="1" w:lineRule="exact"/>
        <w:rPr>
          <w:sz w:val="20"/>
          <w:szCs w:val="20"/>
          <w:color w:val="auto"/>
        </w:rPr>
      </w:pPr>
    </w:p>
    <w:p>
      <w:pPr>
        <w:ind w:left="60" w:right="220"/>
        <w:spacing w:after="0" w:line="281" w:lineRule="auto"/>
        <w:rPr>
          <w:sz w:val="20"/>
          <w:szCs w:val="20"/>
          <w:color w:val="auto"/>
        </w:rPr>
      </w:pPr>
      <w:r>
        <w:rPr>
          <w:rFonts w:ascii="Arial" w:cs="Arial" w:eastAsia="Arial" w:hAnsi="Arial"/>
          <w:sz w:val="16"/>
          <w:szCs w:val="16"/>
          <w:color w:val="333333"/>
        </w:rPr>
        <w:t>If earnings are announced after markets close on Monday, the trading window will open at the beginning of trading on Wednesday. Trading windows are helpful, but do not provide immunity from violations of the insider trading regulations, particularly if you are a person that has access to material nonpublic information. In addition to the times when the trading window is scheduled to be closed, the Compliance Officer may impose a special blackout period at his or her discretion due to the existence of material nonpublic information, such as a pending acquisition, which special blackout period may apply to all Insiders or only certain designated individuals who are likely to have knowledge of such material nonpublic information. Following termination of employment or other service, Insiders will be subject to any existing closed trading window in which termination occurs until the expiration of such closed trading window, as well as any applicable special blackout period in effect at the time of termination. Even when the window is open, Insiders and other Company personnel are prohibited from trading in the Company’s securities while in possession of material nonpublic information.</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Hardship Exemption</w:t>
      </w:r>
    </w:p>
    <w:p>
      <w:pPr>
        <w:spacing w:after="0" w:line="78" w:lineRule="exact"/>
        <w:rPr>
          <w:sz w:val="20"/>
          <w:szCs w:val="20"/>
          <w:color w:val="auto"/>
        </w:rPr>
      </w:pPr>
    </w:p>
    <w:p>
      <w:pPr>
        <w:ind w:left="60" w:right="40"/>
        <w:spacing w:after="0" w:line="281" w:lineRule="auto"/>
        <w:rPr>
          <w:sz w:val="20"/>
          <w:szCs w:val="20"/>
          <w:color w:val="auto"/>
        </w:rPr>
      </w:pPr>
      <w:r>
        <w:rPr>
          <w:rFonts w:ascii="Arial" w:cs="Arial" w:eastAsia="Arial" w:hAnsi="Arial"/>
          <w:sz w:val="16"/>
          <w:szCs w:val="16"/>
          <w:color w:val="333333"/>
        </w:rPr>
        <w:t>The Compliance Officer may, on a case by case basis, authorize a transaction in the Company’s securities outside of the trading window (but in no event during a special blackout period) for Insiders who are not also Section 16 Insiders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within two business days prior to the date of the proposed trade that he or she is not in possession of material nonpublic information concerning the Company. The existence of the foregoing procedure does not in any way obligate the Compliance Officer to approve any hardship exemption requested by an Insider.</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Individual Account Plan Blackout Periods</w:t>
      </w:r>
    </w:p>
    <w:p>
      <w:pPr>
        <w:spacing w:after="0" w:line="78" w:lineRule="exact"/>
        <w:rPr>
          <w:sz w:val="20"/>
          <w:szCs w:val="20"/>
          <w:color w:val="auto"/>
        </w:rPr>
      </w:pPr>
    </w:p>
    <w:p>
      <w:pPr>
        <w:ind w:left="60" w:right="280"/>
        <w:spacing w:after="0" w:line="284" w:lineRule="auto"/>
        <w:rPr>
          <w:sz w:val="20"/>
          <w:szCs w:val="20"/>
          <w:color w:val="auto"/>
        </w:rPr>
      </w:pPr>
      <w:r>
        <w:rPr>
          <w:rFonts w:ascii="Arial" w:cs="Arial" w:eastAsia="Arial" w:hAnsi="Arial"/>
          <w:sz w:val="16"/>
          <w:szCs w:val="16"/>
          <w:color w:val="333333"/>
        </w:rPr>
        <w:t>Certain trading restrictions apply during a blackout period applicable to any Company individual account plan in which participants may hold Company stock. For the purpose of such restrictions, a “</w:t>
      </w:r>
      <w:r>
        <w:rPr>
          <w:rFonts w:ascii="Arial" w:cs="Arial" w:eastAsia="Arial" w:hAnsi="Arial"/>
          <w:sz w:val="16"/>
          <w:szCs w:val="16"/>
          <w:b w:val="1"/>
          <w:bCs w:val="1"/>
          <w:i w:val="1"/>
          <w:iCs w:val="1"/>
          <w:color w:val="333333"/>
        </w:rPr>
        <w:t>blackout period</w:t>
      </w:r>
      <w:r>
        <w:rPr>
          <w:rFonts w:ascii="Arial" w:cs="Arial" w:eastAsia="Arial" w:hAnsi="Arial"/>
          <w:sz w:val="16"/>
          <w:szCs w:val="16"/>
          <w:color w:val="333333"/>
        </w:rPr>
        <w:t>”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officer’s service or employment with the Company. Such trading restriction 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10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100"/>
          </w:cols>
          <w:pgMar w:left="400" w:top="1440" w:right="39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required by law, and no hardship exemptions are available. The Company will notify directors and executive officers in the event of any blackout period.</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Appendix III</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Pre-Clearance of Trades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Overview</w:t>
      </w:r>
    </w:p>
    <w:p>
      <w:pPr>
        <w:spacing w:after="0" w:line="264" w:lineRule="exact"/>
        <w:rPr>
          <w:sz w:val="20"/>
          <w:szCs w:val="20"/>
          <w:color w:val="auto"/>
        </w:rPr>
      </w:pPr>
    </w:p>
    <w:p>
      <w:pPr>
        <w:ind w:left="60" w:right="240"/>
        <w:spacing w:after="0" w:line="282" w:lineRule="auto"/>
        <w:rPr>
          <w:sz w:val="20"/>
          <w:szCs w:val="20"/>
          <w:color w:val="auto"/>
        </w:rPr>
      </w:pPr>
      <w:r>
        <w:rPr>
          <w:rFonts w:ascii="Arial" w:cs="Arial" w:eastAsia="Arial" w:hAnsi="Arial"/>
          <w:sz w:val="16"/>
          <w:szCs w:val="16"/>
          <w:color w:val="333333"/>
        </w:rPr>
        <w:t xml:space="preserve">As part of the Company’s Insider Trading Policy, all purchases and sales of equity securities of the Company by an individual designated on </w:t>
      </w:r>
      <w:r>
        <w:rPr>
          <w:rFonts w:ascii="Arial" w:cs="Arial" w:eastAsia="Arial" w:hAnsi="Arial"/>
          <w:sz w:val="16"/>
          <w:szCs w:val="16"/>
          <w:u w:val="single" w:color="auto"/>
          <w:color w:val="333333"/>
        </w:rPr>
        <w:t>Exhibit C</w:t>
      </w:r>
      <w:r>
        <w:rPr>
          <w:rFonts w:ascii="Arial" w:cs="Arial" w:eastAsia="Arial" w:hAnsi="Arial"/>
          <w:sz w:val="16"/>
          <w:szCs w:val="16"/>
          <w:color w:val="333333"/>
        </w:rPr>
        <w:t xml:space="preserve">, other than transactions that are not subject to the Policy or transactions pursuant to a Rule 10b5-1 trading plan approved in accordance with this Policy, are subject to the pre-clearance requirements set forth in this </w:t>
      </w:r>
      <w:r>
        <w:rPr>
          <w:rFonts w:ascii="Arial" w:cs="Arial" w:eastAsia="Arial" w:hAnsi="Arial"/>
          <w:sz w:val="16"/>
          <w:szCs w:val="16"/>
          <w:u w:val="single" w:color="auto"/>
          <w:color w:val="333333"/>
        </w:rPr>
        <w:t>Appendix III</w:t>
      </w:r>
      <w:r>
        <w:rPr>
          <w:rFonts w:ascii="Arial" w:cs="Arial" w:eastAsia="Arial" w:hAnsi="Arial"/>
          <w:sz w:val="16"/>
          <w:szCs w:val="16"/>
          <w:color w:val="333333"/>
        </w:rPr>
        <w:t xml:space="preserve">. Each person listed on </w:t>
      </w:r>
      <w:r>
        <w:rPr>
          <w:rFonts w:ascii="Arial" w:cs="Arial" w:eastAsia="Arial" w:hAnsi="Arial"/>
          <w:sz w:val="16"/>
          <w:szCs w:val="16"/>
          <w:u w:val="single" w:color="auto"/>
          <w:color w:val="333333"/>
        </w:rPr>
        <w:t>Exhibit C</w:t>
      </w:r>
      <w:r>
        <w:rPr>
          <w:rFonts w:ascii="Arial" w:cs="Arial" w:eastAsia="Arial" w:hAnsi="Arial"/>
          <w:sz w:val="16"/>
          <w:szCs w:val="16"/>
          <w:color w:val="333333"/>
        </w:rPr>
        <w:t xml:space="preserve"> is referred to herein as a “</w:t>
      </w:r>
      <w:r>
        <w:rPr>
          <w:rFonts w:ascii="Arial" w:cs="Arial" w:eastAsia="Arial" w:hAnsi="Arial"/>
          <w:sz w:val="16"/>
          <w:szCs w:val="16"/>
          <w:b w:val="1"/>
          <w:bCs w:val="1"/>
          <w:i w:val="1"/>
          <w:iCs w:val="1"/>
          <w:color w:val="333333"/>
        </w:rPr>
        <w:t>Pre-Clearance</w:t>
      </w:r>
      <w:r>
        <w:rPr>
          <w:rFonts w:ascii="Arial" w:cs="Arial" w:eastAsia="Arial" w:hAnsi="Arial"/>
          <w:sz w:val="16"/>
          <w:szCs w:val="16"/>
          <w:color w:val="333333"/>
        </w:rPr>
        <w:t xml:space="preserve"> </w:t>
      </w:r>
      <w:r>
        <w:rPr>
          <w:rFonts w:ascii="Arial" w:cs="Arial" w:eastAsia="Arial" w:hAnsi="Arial"/>
          <w:sz w:val="16"/>
          <w:szCs w:val="16"/>
          <w:b w:val="1"/>
          <w:bCs w:val="1"/>
          <w:i w:val="1"/>
          <w:iCs w:val="1"/>
          <w:color w:val="333333"/>
        </w:rPr>
        <w:t>Insider</w:t>
      </w:r>
      <w:r>
        <w:rPr>
          <w:rFonts w:ascii="Arial" w:cs="Arial" w:eastAsia="Arial" w:hAnsi="Arial"/>
          <w:sz w:val="16"/>
          <w:szCs w:val="16"/>
          <w:color w:val="333333"/>
        </w:rPr>
        <w:t>.” As with the other provisions of this Policy, Pre-Clearance Insiders are responsible for ensuring compliance with this Appendix III by family</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members and members of their households and by entities over which they exercise voting or investment control.</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Pre-Clearance Requests</w:t>
      </w:r>
    </w:p>
    <w:p>
      <w:pPr>
        <w:spacing w:after="0" w:line="251" w:lineRule="exact"/>
        <w:rPr>
          <w:sz w:val="20"/>
          <w:szCs w:val="20"/>
          <w:color w:val="auto"/>
        </w:rPr>
      </w:pPr>
    </w:p>
    <w:p>
      <w:pPr>
        <w:ind w:left="60"/>
        <w:spacing w:after="0" w:line="296" w:lineRule="auto"/>
        <w:rPr>
          <w:sz w:val="20"/>
          <w:szCs w:val="20"/>
          <w:color w:val="auto"/>
        </w:rPr>
      </w:pPr>
      <w:r>
        <w:rPr>
          <w:rFonts w:ascii="Arial" w:cs="Arial" w:eastAsia="Arial" w:hAnsi="Arial"/>
          <w:sz w:val="16"/>
          <w:szCs w:val="16"/>
          <w:color w:val="333333"/>
        </w:rPr>
        <w:t xml:space="preserve">Requests for pre-clearance must be submitted in writing to the Compliance Officer at least </w:t>
      </w:r>
      <w:r>
        <w:rPr>
          <w:rFonts w:ascii="Arial" w:cs="Arial" w:eastAsia="Arial" w:hAnsi="Arial"/>
          <w:sz w:val="16"/>
          <w:szCs w:val="16"/>
          <w:b w:val="1"/>
          <w:bCs w:val="1"/>
          <w:color w:val="333333"/>
        </w:rPr>
        <w:t>three</w:t>
      </w:r>
      <w:r>
        <w:rPr>
          <w:rFonts w:ascii="Arial" w:cs="Arial" w:eastAsia="Arial" w:hAnsi="Arial"/>
          <w:sz w:val="16"/>
          <w:szCs w:val="16"/>
          <w:color w:val="333333"/>
        </w:rPr>
        <w:t xml:space="preserve"> business days in advance of each proposed transaction. If the Pre-Clearance Insider submits the request by email and does not receive a response from the Compliance Officer within </w:t>
      </w:r>
      <w:r>
        <w:rPr>
          <w:rFonts w:ascii="Arial" w:cs="Arial" w:eastAsia="Arial" w:hAnsi="Arial"/>
          <w:sz w:val="16"/>
          <w:szCs w:val="16"/>
          <w:b w:val="1"/>
          <w:bCs w:val="1"/>
          <w:color w:val="333333"/>
        </w:rPr>
        <w:t>24</w:t>
      </w:r>
      <w:r>
        <w:rPr>
          <w:rFonts w:ascii="Arial" w:cs="Arial" w:eastAsia="Arial" w:hAnsi="Arial"/>
          <w:sz w:val="16"/>
          <w:szCs w:val="16"/>
          <w:color w:val="333333"/>
        </w:rPr>
        <w:t xml:space="preserve"> hours, the Pre-Clearance Insider will be responsible for following up to ensure that the message was received.</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 request for pre-clearance should provide the following information: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nature of the proposed transaction and the expected date of the transaction.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Number of shares involved.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If the transaction involves a stock option exercise, the specific option to be exercised.</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Contact information for the broker who will execute the transaction.</w:t>
      </w:r>
    </w:p>
    <w:p>
      <w:pPr>
        <w:spacing w:after="0" w:line="136" w:lineRule="exact"/>
        <w:rPr>
          <w:sz w:val="20"/>
          <w:szCs w:val="20"/>
          <w:color w:val="auto"/>
        </w:rPr>
      </w:pPr>
    </w:p>
    <w:p>
      <w:pPr>
        <w:ind w:left="240" w:right="240" w:hanging="84"/>
        <w:spacing w:after="0" w:line="313" w:lineRule="auto"/>
        <w:rPr>
          <w:sz w:val="20"/>
          <w:szCs w:val="20"/>
          <w:color w:val="auto"/>
        </w:rPr>
      </w:pPr>
      <w:r>
        <w:rPr>
          <w:rFonts w:ascii="Arial" w:cs="Arial" w:eastAsia="Arial" w:hAnsi="Arial"/>
          <w:sz w:val="16"/>
          <w:szCs w:val="16"/>
          <w:color w:val="333333"/>
        </w:rPr>
        <w:t>A confirmation that the Pre-Clearance Insider has carefully considered whether he or she may be aware of any material nonpublic information relating to the Company (describing any borderline matters or items of potential concern) and has concluded that he or she does not.</w:t>
      </w:r>
    </w:p>
    <w:p>
      <w:pPr>
        <w:spacing w:after="0" w:line="54" w:lineRule="exact"/>
        <w:rPr>
          <w:sz w:val="20"/>
          <w:szCs w:val="20"/>
          <w:color w:val="auto"/>
        </w:rPr>
      </w:pPr>
    </w:p>
    <w:p>
      <w:pPr>
        <w:ind w:left="240" w:right="840" w:hanging="84"/>
        <w:spacing w:after="0" w:line="313" w:lineRule="auto"/>
        <w:rPr>
          <w:sz w:val="20"/>
          <w:szCs w:val="20"/>
          <w:color w:val="auto"/>
        </w:rPr>
      </w:pPr>
      <w:r>
        <w:rPr>
          <w:rFonts w:ascii="Arial" w:cs="Arial" w:eastAsia="Arial" w:hAnsi="Arial"/>
          <w:sz w:val="16"/>
          <w:szCs w:val="16"/>
          <w:color w:val="333333"/>
        </w:rPr>
        <w:t>Whether the transaction complies with all rules and regulations, including Rule 144, Rule 701, Form S-8, and Section 16 of the Exchange Act, applicable to securities transactions by the Pre-Clearance Insider.</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Any other information that is material to the Compliance Officer’s consideration of the proposed transaction.</w:t>
      </w:r>
    </w:p>
    <w:p>
      <w:pPr>
        <w:spacing w:after="0" w:line="150" w:lineRule="exact"/>
        <w:rPr>
          <w:sz w:val="20"/>
          <w:szCs w:val="20"/>
          <w:color w:val="auto"/>
        </w:rPr>
      </w:pPr>
    </w:p>
    <w:p>
      <w:pPr>
        <w:ind w:left="60" w:right="40"/>
        <w:spacing w:after="0" w:line="287" w:lineRule="auto"/>
        <w:rPr>
          <w:sz w:val="20"/>
          <w:szCs w:val="20"/>
          <w:color w:val="auto"/>
        </w:rPr>
      </w:pPr>
      <w:r>
        <w:rPr>
          <w:rFonts w:ascii="Arial" w:cs="Arial" w:eastAsia="Arial" w:hAnsi="Arial"/>
          <w:sz w:val="16"/>
          <w:szCs w:val="16"/>
          <w:color w:val="333333"/>
        </w:rPr>
        <w:t>Once the proposed transaction is pre-cleared, the Pre-Clearance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 Any pre-cleared transaction must be effected within 4 trading days of receiving pre-clearance. If the transaction is not executed in this time period, the Pre-Clearance Insider must seek a new pre- clearance. The Pre-Clearance Insider and his or her broker will be responsible for immediately reporting the results of the transaction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11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000"/>
          </w:cols>
          <w:pgMar w:left="400" w:top="1440" w:right="49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line="278" w:lineRule="auto"/>
        <w:rPr>
          <w:sz w:val="20"/>
          <w:szCs w:val="20"/>
          <w:color w:val="auto"/>
        </w:rPr>
      </w:pPr>
      <w:r>
        <w:rPr>
          <w:rFonts w:ascii="Arial" w:cs="Arial" w:eastAsia="Arial" w:hAnsi="Arial"/>
          <w:sz w:val="16"/>
          <w:szCs w:val="16"/>
          <w:color w:val="333333"/>
        </w:rPr>
        <w:t>In addition, pre-clearance is required for the establishment or modification of a Rule 10b5-1 trading plan by a Pre- Clearance Insider. However, pre-clearance will not be required for individual transactions effected pursuant to a pre- cleared Rule 10b5-1 trading plan that has been approved in accordance with this Policy. The Compliance Officer may withhold pre-clearance of any proposed Rule 10b5-1 trading plan for any reason, in his or her sole discretion. The Compliance Officer will not pre-clear any proposed trading plan if he or she concludes that the proposed trading plan</w:t>
      </w:r>
    </w:p>
    <w:p>
      <w:pPr>
        <w:spacing w:after="0" w:line="1" w:lineRule="exact"/>
        <w:rPr>
          <w:sz w:val="20"/>
          <w:szCs w:val="20"/>
          <w:color w:val="auto"/>
        </w:rPr>
      </w:pPr>
    </w:p>
    <w:p>
      <w:pPr>
        <w:ind w:left="60" w:right="140" w:hanging="9"/>
        <w:spacing w:after="0" w:line="313" w:lineRule="auto"/>
        <w:tabs>
          <w:tab w:leader="none" w:pos="318" w:val="left"/>
        </w:tabs>
        <w:numPr>
          <w:ilvl w:val="0"/>
          <w:numId w:val="35"/>
        </w:numPr>
        <w:rPr>
          <w:rFonts w:ascii="Arial" w:cs="Arial" w:eastAsia="Arial" w:hAnsi="Arial"/>
          <w:sz w:val="16"/>
          <w:szCs w:val="16"/>
          <w:color w:val="333333"/>
        </w:rPr>
      </w:pPr>
      <w:r>
        <w:rPr>
          <w:rFonts w:ascii="Arial" w:cs="Arial" w:eastAsia="Arial" w:hAnsi="Arial"/>
          <w:sz w:val="16"/>
          <w:szCs w:val="16"/>
          <w:color w:val="333333"/>
        </w:rPr>
        <w:t xml:space="preserve">fails to comply with the requirements of Rule 10b5-1, as amended from time to time, or (B) fails to comply with the Company’s “10b5-1 Plan Guidelines” set forth in </w:t>
      </w:r>
      <w:r>
        <w:rPr>
          <w:rFonts w:ascii="Arial" w:cs="Arial" w:eastAsia="Arial" w:hAnsi="Arial"/>
          <w:sz w:val="16"/>
          <w:szCs w:val="16"/>
          <w:u w:val="single" w:color="auto"/>
          <w:color w:val="333333"/>
        </w:rPr>
        <w:t>Appendix IV</w:t>
      </w:r>
      <w:r>
        <w:rPr>
          <w:rFonts w:ascii="Arial" w:cs="Arial" w:eastAsia="Arial" w:hAnsi="Arial"/>
          <w:sz w:val="16"/>
          <w:szCs w:val="16"/>
          <w:color w:val="333333"/>
        </w:rPr>
        <w:t>.</w:t>
      </w:r>
    </w:p>
    <w:p>
      <w:pPr>
        <w:spacing w:after="0" w:line="54" w:lineRule="exact"/>
        <w:rPr>
          <w:sz w:val="20"/>
          <w:szCs w:val="20"/>
          <w:color w:val="auto"/>
        </w:rPr>
      </w:pPr>
    </w:p>
    <w:p>
      <w:pPr>
        <w:ind w:left="60" w:right="180"/>
        <w:spacing w:after="0" w:line="296" w:lineRule="auto"/>
        <w:rPr>
          <w:sz w:val="20"/>
          <w:szCs w:val="20"/>
          <w:color w:val="auto"/>
        </w:rPr>
      </w:pPr>
      <w:r>
        <w:rPr>
          <w:rFonts w:ascii="Arial" w:cs="Arial" w:eastAsia="Arial" w:hAnsi="Arial"/>
          <w:sz w:val="16"/>
          <w:szCs w:val="16"/>
          <w:color w:val="333333"/>
        </w:rPr>
        <w:t>The Company and the Compliance Officer are under no obligation to approve a transaction submitted for pre- clearance. Further, the Compliance Officer’s approval of a transaction for pre-clearance does not (i) constitute legal advice, (ii) constitute confirmation that you do not possess material nonpublic information and (iii) does not relieve you of any legal obligations you may have.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12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1140"/>
          </w:cols>
          <w:pgMar w:left="400" w:top="1440" w:right="3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0F60FD"/>
        </w:rPr>
        <w:t>Appendix IV</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10b5-1 Plan Guidelines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(See attached)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13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059"/>
          </w:cols>
          <w:pgMar w:left="40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10b5-1 Plan Guidelines</w:t>
      </w:r>
    </w:p>
    <w:p>
      <w:pPr>
        <w:spacing w:after="0" w:line="248" w:lineRule="exact"/>
        <w:rPr>
          <w:sz w:val="20"/>
          <w:szCs w:val="20"/>
          <w:color w:val="auto"/>
        </w:rPr>
      </w:pPr>
    </w:p>
    <w:p>
      <w:pPr>
        <w:ind w:left="60" w:right="180"/>
        <w:spacing w:after="0" w:line="275" w:lineRule="auto"/>
        <w:rPr>
          <w:sz w:val="20"/>
          <w:szCs w:val="20"/>
          <w:color w:val="auto"/>
        </w:rPr>
      </w:pPr>
      <w:r>
        <w:rPr>
          <w:rFonts w:ascii="Arial" w:cs="Arial" w:eastAsia="Arial" w:hAnsi="Arial"/>
          <w:sz w:val="25"/>
          <w:szCs w:val="25"/>
          <w:color w:val="333333"/>
        </w:rPr>
        <w:t>Section 10(b) and Rule 10b-5 of the Exchange Act prohibit the purchase or sale of a security on the basis of material non-public information. Rule 10b5-1 specifies that a purchase or sale constitutes trading “on the basis of” material non-public information where the person making the purchase or sale was aware of material nonpublic information at the time the</w:t>
      </w:r>
    </w:p>
    <w:p>
      <w:pPr>
        <w:spacing w:after="0" w:line="3" w:lineRule="exact"/>
        <w:rPr>
          <w:sz w:val="20"/>
          <w:szCs w:val="20"/>
          <w:color w:val="auto"/>
        </w:rPr>
      </w:pPr>
    </w:p>
    <w:p>
      <w:pPr>
        <w:ind w:left="60" w:right="820"/>
        <w:spacing w:after="0" w:line="313" w:lineRule="auto"/>
        <w:rPr>
          <w:sz w:val="20"/>
          <w:szCs w:val="20"/>
          <w:color w:val="auto"/>
        </w:rPr>
      </w:pPr>
      <w:r>
        <w:rPr>
          <w:rFonts w:ascii="Arial" w:cs="Arial" w:eastAsia="Arial" w:hAnsi="Arial"/>
          <w:sz w:val="25"/>
          <w:szCs w:val="25"/>
          <w:color w:val="333333"/>
        </w:rPr>
        <w:t>purchase or sale was made. For purposes of Section 10(b) and Rule 10b-5, gifts should be considered "sales" of securities.</w:t>
      </w:r>
    </w:p>
    <w:p>
      <w:pPr>
        <w:spacing w:after="0" w:line="287" w:lineRule="exact"/>
        <w:rPr>
          <w:sz w:val="20"/>
          <w:szCs w:val="20"/>
          <w:color w:val="auto"/>
        </w:rPr>
      </w:pPr>
    </w:p>
    <w:p>
      <w:pPr>
        <w:ind w:left="60"/>
        <w:spacing w:after="0" w:line="284" w:lineRule="auto"/>
        <w:rPr>
          <w:sz w:val="20"/>
          <w:szCs w:val="20"/>
          <w:color w:val="auto"/>
        </w:rPr>
      </w:pPr>
      <w:r>
        <w:rPr>
          <w:rFonts w:ascii="Arial" w:cs="Arial" w:eastAsia="Arial" w:hAnsi="Arial"/>
          <w:sz w:val="21"/>
          <w:szCs w:val="21"/>
          <w:color w:val="666666"/>
        </w:rPr>
        <w:t>Rule 10b5-1(c) generally provides an affirmative defense against allegations of insider trading if a person sets up a written plan (“</w:t>
      </w:r>
      <w:r>
        <w:rPr>
          <w:rFonts w:ascii="Arial" w:cs="Arial" w:eastAsia="Arial" w:hAnsi="Arial"/>
          <w:sz w:val="21"/>
          <w:szCs w:val="21"/>
          <w:b w:val="1"/>
          <w:bCs w:val="1"/>
          <w:i w:val="1"/>
          <w:iCs w:val="1"/>
          <w:color w:val="666666"/>
        </w:rPr>
        <w:t>Plan</w:t>
      </w:r>
      <w:r>
        <w:rPr>
          <w:rFonts w:ascii="Arial" w:cs="Arial" w:eastAsia="Arial" w:hAnsi="Arial"/>
          <w:sz w:val="21"/>
          <w:szCs w:val="21"/>
          <w:color w:val="666666"/>
        </w:rPr>
        <w:t>”) for trading securities that meets certain requirements, including:</w:t>
      </w:r>
    </w:p>
    <w:p>
      <w:pPr>
        <w:spacing w:after="0" w:line="1" w:lineRule="exact"/>
        <w:rPr>
          <w:sz w:val="20"/>
          <w:szCs w:val="20"/>
          <w:color w:val="auto"/>
        </w:rPr>
      </w:pPr>
    </w:p>
    <w:p>
      <w:pPr>
        <w:ind w:left="240" w:right="680" w:hanging="84"/>
        <w:spacing w:after="0" w:line="313" w:lineRule="auto"/>
        <w:rPr>
          <w:sz w:val="20"/>
          <w:szCs w:val="20"/>
          <w:color w:val="auto"/>
        </w:rPr>
      </w:pPr>
      <w:r>
        <w:rPr>
          <w:rFonts w:ascii="Arial" w:cs="Arial" w:eastAsia="Arial" w:hAnsi="Arial"/>
          <w:sz w:val="16"/>
          <w:szCs w:val="16"/>
          <w:color w:val="333333"/>
        </w:rPr>
        <w:t>The Plan was entered into and, throughout the duration of the Plan, is operated in good faith and not as part of a plan or scheme to evade the prohibitions of Rule 10b5-1.</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Plan was adopted at a time when the person trading was not aware of any material non-public information.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Certification of the above items is required of Section 16 Insiders at the time of Plan adoption.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Plan must be in writing and signed by the person adopting the Plan.</w:t>
      </w:r>
    </w:p>
    <w:p>
      <w:pPr>
        <w:spacing w:after="0" w:line="150" w:lineRule="exact"/>
        <w:rPr>
          <w:sz w:val="20"/>
          <w:szCs w:val="20"/>
          <w:color w:val="auto"/>
        </w:rPr>
      </w:pPr>
    </w:p>
    <w:p>
      <w:pPr>
        <w:ind w:left="240" w:right="500" w:hanging="84"/>
        <w:spacing w:after="0" w:line="313" w:lineRule="auto"/>
        <w:rPr>
          <w:sz w:val="20"/>
          <w:szCs w:val="20"/>
          <w:color w:val="auto"/>
        </w:rPr>
      </w:pPr>
      <w:r>
        <w:rPr>
          <w:rFonts w:ascii="Arial" w:cs="Arial" w:eastAsia="Arial" w:hAnsi="Arial"/>
          <w:sz w:val="16"/>
          <w:szCs w:val="16"/>
          <w:color w:val="333333"/>
        </w:rPr>
        <w:t>The terms of the Plan specify the amount, price, and date of the transaction(s) (or included a written formula, algorithm, or computer program for determining the amount, price, and date).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Plan may not grant discretion to a stockbroker or other person with respect to execution of trades.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person entering into the Plan did not exercise any subsequent influence over how, when, or whether to make purchases or sales.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purchase or sale was made pursuant to the Plan.</w:t>
      </w:r>
    </w:p>
    <w:p>
      <w:pPr>
        <w:spacing w:after="0" w:line="150" w:lineRule="exact"/>
        <w:rPr>
          <w:sz w:val="20"/>
          <w:szCs w:val="20"/>
          <w:color w:val="auto"/>
        </w:rPr>
      </w:pPr>
    </w:p>
    <w:p>
      <w:pPr>
        <w:ind w:left="240" w:right="20" w:hanging="84"/>
        <w:spacing w:after="0" w:line="288" w:lineRule="auto"/>
        <w:rPr>
          <w:sz w:val="20"/>
          <w:szCs w:val="20"/>
          <w:color w:val="auto"/>
        </w:rPr>
      </w:pPr>
      <w:r>
        <w:rPr>
          <w:rFonts w:ascii="Arial" w:cs="Arial" w:eastAsia="Arial" w:hAnsi="Arial"/>
          <w:sz w:val="16"/>
          <w:szCs w:val="16"/>
          <w:color w:val="333333"/>
        </w:rPr>
        <w:t>Except as set forth below for Section 16 Insiders, the Plan includes a “cooling-off period” of 30 days between the date of execution and the date of the first trade. For Section 16 Insiders, the “cooling-off period” must be the later of (i) 90 days after the adoption or modification of the Plan or (ii) two business days after disclosure of the issuer’s financial results in a Form 10-Q or Form 10-K for the quarter in which the Plan was adopted, subject to a maximum of 120 days (the “</w:t>
      </w:r>
      <w:r>
        <w:rPr>
          <w:rFonts w:ascii="Arial" w:cs="Arial" w:eastAsia="Arial" w:hAnsi="Arial"/>
          <w:sz w:val="16"/>
          <w:szCs w:val="16"/>
          <w:b w:val="1"/>
          <w:bCs w:val="1"/>
          <w:i w:val="1"/>
          <w:iCs w:val="1"/>
          <w:color w:val="333333"/>
        </w:rPr>
        <w:t>D&amp;O Cooling Off Period</w:t>
      </w:r>
      <w:r>
        <w:rPr>
          <w:rFonts w:ascii="Arial" w:cs="Arial" w:eastAsia="Arial" w:hAnsi="Arial"/>
          <w:sz w:val="16"/>
          <w:szCs w:val="16"/>
          <w:color w:val="333333"/>
        </w:rPr>
        <w:t>”).</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Only one single trade Plan is allowed per 12 months.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Two Plans that overlap (i.e., the second Plan is entered into before the expiration date of a first Plan) are permitted, provided:</w:t>
      </w:r>
    </w:p>
    <w:p>
      <w:pPr>
        <w:spacing w:after="0" w:line="136" w:lineRule="exact"/>
        <w:rPr>
          <w:sz w:val="20"/>
          <w:szCs w:val="20"/>
          <w:color w:val="auto"/>
        </w:rPr>
      </w:pPr>
    </w:p>
    <w:p>
      <w:pPr>
        <w:ind w:left="1460" w:right="420" w:hanging="79"/>
        <w:spacing w:after="0" w:line="313" w:lineRule="auto"/>
        <w:rPr>
          <w:sz w:val="20"/>
          <w:szCs w:val="20"/>
          <w:color w:val="auto"/>
        </w:rPr>
      </w:pPr>
      <w:r>
        <w:rPr>
          <w:rFonts w:ascii="Arial" w:cs="Arial" w:eastAsia="Arial" w:hAnsi="Arial"/>
          <w:sz w:val="16"/>
          <w:szCs w:val="16"/>
          <w:color w:val="333333"/>
        </w:rPr>
        <w:t>The trading period for shares under the second Plan does not commence until the end of the trading period for shares under the first Plan.</w:t>
      </w:r>
    </w:p>
    <w:p>
      <w:pPr>
        <w:spacing w:after="0" w:line="54" w:lineRule="exact"/>
        <w:rPr>
          <w:sz w:val="20"/>
          <w:szCs w:val="20"/>
          <w:color w:val="auto"/>
        </w:rPr>
      </w:pPr>
    </w:p>
    <w:p>
      <w:pPr>
        <w:ind w:left="1380"/>
        <w:spacing w:after="0"/>
        <w:rPr>
          <w:sz w:val="20"/>
          <w:szCs w:val="20"/>
          <w:color w:val="auto"/>
        </w:rPr>
      </w:pPr>
      <w:r>
        <w:rPr>
          <w:rFonts w:ascii="Arial" w:cs="Arial" w:eastAsia="Arial" w:hAnsi="Arial"/>
          <w:sz w:val="16"/>
          <w:szCs w:val="16"/>
          <w:color w:val="333333"/>
        </w:rPr>
        <w:t>Both Plans must comply with the 30 day “cooling-off period” or the D&amp;O Cooling Off Period, as applicable.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All transactions under the Plan must be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14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860"/>
          </w:cols>
          <w:pgMar w:left="400" w:top="1440" w:right="6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Regarding modifications and early termination of Plans:</w:t>
      </w:r>
    </w:p>
    <w:p>
      <w:pPr>
        <w:spacing w:after="0" w:line="64" w:lineRule="exact"/>
        <w:rPr>
          <w:sz w:val="20"/>
          <w:szCs w:val="20"/>
          <w:color w:val="auto"/>
        </w:rPr>
      </w:pPr>
    </w:p>
    <w:p>
      <w:pPr>
        <w:ind w:left="240" w:right="200" w:hanging="124"/>
        <w:spacing w:after="0" w:line="296" w:lineRule="auto"/>
        <w:rPr>
          <w:sz w:val="20"/>
          <w:szCs w:val="20"/>
          <w:color w:val="auto"/>
        </w:rPr>
      </w:pPr>
      <w:r>
        <w:rPr>
          <w:rFonts w:ascii="Arial" w:cs="Arial" w:eastAsia="Arial" w:hAnsi="Arial"/>
          <w:sz w:val="16"/>
          <w:szCs w:val="16"/>
          <w:color w:val="333333"/>
        </w:rPr>
        <w:t>In general, modifications and early terminations are discouraged and should be avoided except in unusual circumstances because they can create the perception that the person is manipulating the Plan and potentially call into question whether the good faith requirement was met.</w:t>
      </w:r>
    </w:p>
    <w:p>
      <w:pPr>
        <w:spacing w:after="0" w:line="67" w:lineRule="exact"/>
        <w:rPr>
          <w:sz w:val="20"/>
          <w:szCs w:val="20"/>
          <w:color w:val="auto"/>
        </w:rPr>
      </w:pPr>
    </w:p>
    <w:p>
      <w:pPr>
        <w:ind w:left="240" w:right="60" w:hanging="84"/>
        <w:spacing w:after="0" w:line="296" w:lineRule="auto"/>
        <w:rPr>
          <w:sz w:val="20"/>
          <w:szCs w:val="20"/>
          <w:color w:val="auto"/>
        </w:rPr>
      </w:pPr>
      <w:r>
        <w:rPr>
          <w:rFonts w:ascii="Arial" w:cs="Arial" w:eastAsia="Arial" w:hAnsi="Arial"/>
          <w:sz w:val="16"/>
          <w:szCs w:val="16"/>
          <w:color w:val="333333"/>
        </w:rPr>
        <w:t>Once implemented, Plans cannot be terminated or modified absent approval from the Company’s Compliance Officer. Any modified plan is subject to the same pre-clearance and other requirements as the entering into a new Plan and must be approved by the Company’s Compliance Officer and filed with the Company.</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Plan may be modified or terminated prior to its stated duration only at a time when:</w:t>
      </w:r>
    </w:p>
    <w:p>
      <w:pPr>
        <w:spacing w:after="0" w:line="136" w:lineRule="exact"/>
        <w:rPr>
          <w:sz w:val="20"/>
          <w:szCs w:val="20"/>
          <w:color w:val="auto"/>
        </w:rPr>
      </w:pPr>
    </w:p>
    <w:p>
      <w:pPr>
        <w:ind w:left="1380"/>
        <w:spacing w:after="0"/>
        <w:rPr>
          <w:sz w:val="20"/>
          <w:szCs w:val="20"/>
          <w:color w:val="auto"/>
        </w:rPr>
      </w:pPr>
      <w:r>
        <w:rPr>
          <w:rFonts w:ascii="Arial" w:cs="Arial" w:eastAsia="Arial" w:hAnsi="Arial"/>
          <w:sz w:val="16"/>
          <w:szCs w:val="16"/>
          <w:color w:val="333333"/>
        </w:rPr>
        <w:t>The person modifying or terminating the Plan is not aware of material nonpublic information.</w:t>
      </w:r>
    </w:p>
    <w:p>
      <w:pPr>
        <w:spacing w:after="0" w:line="150" w:lineRule="exact"/>
        <w:rPr>
          <w:sz w:val="20"/>
          <w:szCs w:val="20"/>
          <w:color w:val="auto"/>
        </w:rPr>
      </w:pPr>
    </w:p>
    <w:p>
      <w:pPr>
        <w:ind w:left="1380"/>
        <w:spacing w:after="0"/>
        <w:rPr>
          <w:sz w:val="20"/>
          <w:szCs w:val="20"/>
          <w:color w:val="auto"/>
        </w:rPr>
      </w:pPr>
      <w:r>
        <w:rPr>
          <w:rFonts w:ascii="Arial" w:cs="Arial" w:eastAsia="Arial" w:hAnsi="Arial"/>
          <w:sz w:val="16"/>
          <w:szCs w:val="16"/>
          <w:color w:val="333333"/>
        </w:rPr>
        <w:t>There is no quarterly, special or other trading blackout in effect with respect to the person modifying or terminating the Plan.</w:t>
      </w:r>
    </w:p>
    <w:p>
      <w:pPr>
        <w:spacing w:after="0" w:line="136" w:lineRule="exact"/>
        <w:rPr>
          <w:sz w:val="20"/>
          <w:szCs w:val="20"/>
          <w:color w:val="auto"/>
        </w:rPr>
      </w:pPr>
    </w:p>
    <w:p>
      <w:pPr>
        <w:ind w:left="240" w:right="80" w:hanging="84"/>
        <w:spacing w:after="0" w:line="313" w:lineRule="auto"/>
        <w:rPr>
          <w:sz w:val="20"/>
          <w:szCs w:val="20"/>
          <w:color w:val="auto"/>
        </w:rPr>
      </w:pPr>
      <w:r>
        <w:rPr>
          <w:rFonts w:ascii="Arial" w:cs="Arial" w:eastAsia="Arial" w:hAnsi="Arial"/>
          <w:sz w:val="16"/>
          <w:szCs w:val="16"/>
          <w:color w:val="333333"/>
        </w:rPr>
        <w:t>The modification of a Plan is generally considered the termination of the Plan and the entering into a new Plan. Therefore, no trades may occur under a modified plan until after the completion of the requisite "cooling off period" or D&amp;O Cooling Off Period, as applicable.</w:t>
      </w:r>
    </w:p>
    <w:p>
      <w:pPr>
        <w:spacing w:after="0" w:line="54" w:lineRule="exact"/>
        <w:rPr>
          <w:sz w:val="20"/>
          <w:szCs w:val="20"/>
          <w:color w:val="auto"/>
        </w:rPr>
      </w:pPr>
    </w:p>
    <w:p>
      <w:pPr>
        <w:ind w:left="240" w:right="300" w:hanging="84"/>
        <w:spacing w:after="0" w:line="313" w:lineRule="auto"/>
        <w:rPr>
          <w:sz w:val="20"/>
          <w:szCs w:val="20"/>
          <w:color w:val="auto"/>
        </w:rPr>
      </w:pPr>
      <w:r>
        <w:rPr>
          <w:rFonts w:ascii="Arial" w:cs="Arial" w:eastAsia="Arial" w:hAnsi="Arial"/>
          <w:sz w:val="16"/>
          <w:szCs w:val="16"/>
          <w:color w:val="333333"/>
        </w:rPr>
        <w:t>If a Plan is terminated prior to its stated duration, the person terminating the Plan may not engage in open market trades in Company securities for a period of 30 days after such termination.</w:t>
      </w:r>
    </w:p>
    <w:p>
      <w:pPr>
        <w:spacing w:after="0" w:line="54" w:lineRule="exact"/>
        <w:rPr>
          <w:sz w:val="20"/>
          <w:szCs w:val="20"/>
          <w:color w:val="auto"/>
        </w:rPr>
      </w:pPr>
    </w:p>
    <w:p>
      <w:pPr>
        <w:jc w:val="both"/>
        <w:ind w:left="240" w:hanging="84"/>
        <w:spacing w:after="0" w:line="287" w:lineRule="auto"/>
        <w:rPr>
          <w:sz w:val="20"/>
          <w:szCs w:val="20"/>
          <w:color w:val="auto"/>
        </w:rPr>
      </w:pPr>
      <w:r>
        <w:rPr>
          <w:rFonts w:ascii="Arial" w:cs="Arial" w:eastAsia="Arial" w:hAnsi="Arial"/>
          <w:sz w:val="16"/>
          <w:szCs w:val="16"/>
          <w:color w:val="333333"/>
        </w:rPr>
        <w:t>If a person has pre-cleared a new Plan (the “</w:t>
      </w:r>
      <w:r>
        <w:rPr>
          <w:rFonts w:ascii="Arial" w:cs="Arial" w:eastAsia="Arial" w:hAnsi="Arial"/>
          <w:sz w:val="16"/>
          <w:szCs w:val="16"/>
          <w:b w:val="1"/>
          <w:bCs w:val="1"/>
          <w:i w:val="1"/>
          <w:iCs w:val="1"/>
          <w:color w:val="333333"/>
        </w:rPr>
        <w:t>Second Plan</w:t>
      </w:r>
      <w:r>
        <w:rPr>
          <w:rFonts w:ascii="Arial" w:cs="Arial" w:eastAsia="Arial" w:hAnsi="Arial"/>
          <w:sz w:val="16"/>
          <w:szCs w:val="16"/>
          <w:color w:val="333333"/>
        </w:rPr>
        <w:t>”) intended to succeed an earlier pre-cleared Plan (the “</w:t>
      </w:r>
      <w:r>
        <w:rPr>
          <w:rFonts w:ascii="Arial" w:cs="Arial" w:eastAsia="Arial" w:hAnsi="Arial"/>
          <w:sz w:val="16"/>
          <w:szCs w:val="16"/>
          <w:b w:val="1"/>
          <w:bCs w:val="1"/>
          <w:i w:val="1"/>
          <w:iCs w:val="1"/>
          <w:color w:val="333333"/>
        </w:rPr>
        <w:t>First Plan</w:t>
      </w:r>
      <w:r>
        <w:rPr>
          <w:rFonts w:ascii="Arial" w:cs="Arial" w:eastAsia="Arial" w:hAnsi="Arial"/>
          <w:sz w:val="16"/>
          <w:szCs w:val="16"/>
          <w:color w:val="333333"/>
        </w:rPr>
        <w:t>”), and intends to terminate the First Plan, the person must observe another “cooling-off” period or D&amp;O Cooling Off Period, as applicable, measured from the date of termination of the First Plan, before trades may begin under the Second Plan.</w:t>
      </w:r>
    </w:p>
    <w:p>
      <w:pPr>
        <w:spacing w:after="0" w:line="74" w:lineRule="exact"/>
        <w:rPr>
          <w:sz w:val="20"/>
          <w:szCs w:val="20"/>
          <w:color w:val="auto"/>
        </w:rPr>
      </w:pPr>
    </w:p>
    <w:p>
      <w:pPr>
        <w:ind w:left="240" w:right="720" w:hanging="84"/>
        <w:spacing w:after="0" w:line="313" w:lineRule="auto"/>
        <w:rPr>
          <w:sz w:val="20"/>
          <w:szCs w:val="20"/>
          <w:color w:val="auto"/>
        </w:rPr>
      </w:pPr>
      <w:r>
        <w:rPr>
          <w:rFonts w:ascii="Arial" w:cs="Arial" w:eastAsia="Arial" w:hAnsi="Arial"/>
          <w:sz w:val="16"/>
          <w:szCs w:val="16"/>
          <w:color w:val="333333"/>
        </w:rPr>
        <w:t>Unless otherwise approved by the Company’s Compliance Officer, any modified Plan must have a minimum duration of one year from the time when trades may first occur under the Plan in accordance with these requirements.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1"/>
          <w:szCs w:val="21"/>
          <w:color w:val="666666"/>
        </w:rPr>
        <w:t>Trading under a Plan provides a number of benefits, including:</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An affirmative defense to illegal insider trading allegations;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Greater certainty to insiders in planning securities transactions;</w:t>
      </w:r>
    </w:p>
    <w:p>
      <w:pPr>
        <w:spacing w:after="0" w:line="150" w:lineRule="exact"/>
        <w:rPr>
          <w:sz w:val="20"/>
          <w:szCs w:val="20"/>
          <w:color w:val="auto"/>
        </w:rPr>
      </w:pPr>
    </w:p>
    <w:p>
      <w:pPr>
        <w:ind w:left="240" w:right="380" w:hanging="84"/>
        <w:spacing w:after="0" w:line="313" w:lineRule="auto"/>
        <w:rPr>
          <w:sz w:val="20"/>
          <w:szCs w:val="20"/>
          <w:color w:val="auto"/>
        </w:rPr>
      </w:pPr>
      <w:r>
        <w:rPr>
          <w:rFonts w:ascii="Arial" w:cs="Arial" w:eastAsia="Arial" w:hAnsi="Arial"/>
          <w:sz w:val="16"/>
          <w:szCs w:val="16"/>
          <w:color w:val="333333"/>
        </w:rPr>
        <w:t>Potentially more opportunities for individuals to transact their shares, especially because a properly entered into Plan allows trading during blackout periods;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 powerful investment management tool;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Potentially less negative publicity; and</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Decreased administrative and oversight burden.</w:t>
      </w:r>
    </w:p>
    <w:p>
      <w:pPr>
        <w:spacing w:after="0" w:line="311" w:lineRule="exact"/>
        <w:rPr>
          <w:sz w:val="20"/>
          <w:szCs w:val="20"/>
          <w:color w:val="auto"/>
        </w:rPr>
      </w:pPr>
    </w:p>
    <w:p>
      <w:pPr>
        <w:ind w:left="60" w:right="300"/>
        <w:spacing w:after="0" w:line="268" w:lineRule="auto"/>
        <w:rPr>
          <w:sz w:val="20"/>
          <w:szCs w:val="20"/>
          <w:color w:val="auto"/>
        </w:rPr>
      </w:pPr>
      <w:r>
        <w:rPr>
          <w:rFonts w:ascii="Arial" w:cs="Arial" w:eastAsia="Arial" w:hAnsi="Arial"/>
          <w:sz w:val="21"/>
          <w:szCs w:val="21"/>
          <w:color w:val="666666"/>
        </w:rPr>
        <w:t>Silicon Labs highly encourages all Section 16 Insiders to enter into Plans for handling all of their trades in Silicon Labs stock. The Company also recommends the use of Plans to other individuals who may regularly receive sensitive information. To facilitate proper execution of such Plans, the following guidelines apply to any Plans entered into by any Covered Parties:</w:t>
      </w:r>
    </w:p>
    <w:p>
      <w:pPr>
        <w:spacing w:after="0" w:line="1" w:lineRule="exact"/>
        <w:rPr>
          <w:sz w:val="20"/>
          <w:szCs w:val="20"/>
          <w:color w:val="auto"/>
        </w:rPr>
      </w:pPr>
    </w:p>
    <w:p>
      <w:pPr>
        <w:ind w:left="240" w:right="540" w:hanging="84"/>
        <w:spacing w:after="0" w:line="313" w:lineRule="auto"/>
        <w:rPr>
          <w:sz w:val="20"/>
          <w:szCs w:val="20"/>
          <w:color w:val="auto"/>
        </w:rPr>
      </w:pPr>
      <w:r>
        <w:rPr>
          <w:rFonts w:ascii="Arial" w:cs="Arial" w:eastAsia="Arial" w:hAnsi="Arial"/>
          <w:sz w:val="16"/>
          <w:szCs w:val="16"/>
          <w:color w:val="333333"/>
        </w:rPr>
        <w:t>A Plan may only be executed during the open window trading under the company’s Insider Trading Policy. We recommend you start working with your broker on the particulars of your Plan before the window opens.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You must not be in possession of any material non-public information at the time of entering into a Plan.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15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940"/>
          </w:cols>
          <w:pgMar w:left="400" w:top="1440" w:right="559" w:bottom="1440" w:gutter="0" w:footer="0" w:header="0"/>
        </w:sectPr>
      </w:pPr>
    </w:p>
    <w:bookmarkStart w:id="92" w:name="page93"/>
    <w:bookmarkEnd w:id="92"/>
    <w:p>
      <w:pPr>
        <w:spacing w:after="0" w:line="3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333333"/>
        </w:rPr>
        <w:t>Once a Plan has been established, an individual must not trade in Silicon Labs stock outside of the Plan.</w:t>
      </w:r>
    </w:p>
    <w:p>
      <w:pPr>
        <w:spacing w:after="0" w:line="150" w:lineRule="exact"/>
        <w:rPr>
          <w:sz w:val="20"/>
          <w:szCs w:val="20"/>
          <w:color w:val="auto"/>
        </w:rPr>
      </w:pPr>
    </w:p>
    <w:p>
      <w:pPr>
        <w:ind w:left="240" w:hanging="84"/>
        <w:spacing w:after="0" w:line="313" w:lineRule="auto"/>
        <w:rPr>
          <w:sz w:val="20"/>
          <w:szCs w:val="20"/>
          <w:color w:val="auto"/>
        </w:rPr>
      </w:pPr>
      <w:r>
        <w:rPr>
          <w:rFonts w:ascii="Arial" w:cs="Arial" w:eastAsia="Arial" w:hAnsi="Arial"/>
          <w:sz w:val="16"/>
          <w:szCs w:val="16"/>
          <w:color w:val="333333"/>
        </w:rPr>
        <w:t>Any Section 16 Insider may not enter into a Plan that includes both purchases and sales of Company stock if the transactions occur within a six-month period.</w:t>
      </w:r>
    </w:p>
    <w:p>
      <w:pPr>
        <w:spacing w:after="0" w:line="40" w:lineRule="exact"/>
        <w:rPr>
          <w:sz w:val="20"/>
          <w:szCs w:val="20"/>
          <w:color w:val="auto"/>
        </w:rPr>
      </w:pPr>
    </w:p>
    <w:p>
      <w:pPr>
        <w:ind w:left="240" w:right="140" w:hanging="84"/>
        <w:spacing w:after="0" w:line="313" w:lineRule="auto"/>
        <w:rPr>
          <w:sz w:val="20"/>
          <w:szCs w:val="20"/>
          <w:color w:val="auto"/>
        </w:rPr>
      </w:pPr>
      <w:r>
        <w:rPr>
          <w:rFonts w:ascii="Arial" w:cs="Arial" w:eastAsia="Arial" w:hAnsi="Arial"/>
          <w:sz w:val="16"/>
          <w:szCs w:val="16"/>
          <w:color w:val="333333"/>
        </w:rPr>
        <w:t>Consider adopting or modifying a Plan only during the first week of an open trading window. This decreases the likelihood that you will have become aware of material nonpublic information.</w:t>
      </w:r>
    </w:p>
    <w:p>
      <w:pPr>
        <w:spacing w:after="0" w:line="54" w:lineRule="exact"/>
        <w:rPr>
          <w:sz w:val="20"/>
          <w:szCs w:val="20"/>
          <w:color w:val="auto"/>
        </w:rPr>
      </w:pPr>
    </w:p>
    <w:p>
      <w:pPr>
        <w:ind w:left="240" w:hanging="84"/>
        <w:spacing w:after="0" w:line="290" w:lineRule="auto"/>
        <w:rPr>
          <w:sz w:val="20"/>
          <w:szCs w:val="20"/>
          <w:color w:val="auto"/>
        </w:rPr>
      </w:pPr>
      <w:r>
        <w:rPr>
          <w:rFonts w:ascii="Arial" w:cs="Arial" w:eastAsia="Arial" w:hAnsi="Arial"/>
          <w:sz w:val="16"/>
          <w:szCs w:val="16"/>
          <w:color w:val="333333"/>
        </w:rPr>
        <w:t>Consider limiting the duration of the Plan to no more than two years.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bona fide Plan. In addition, subsequent trading will not be considered as pursuant to the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16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780"/>
          </w:cols>
          <w:pgMar w:left="400" w:top="1440" w:right="71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Exhibit A</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Section 16 Insiders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(as of April 20, 2023)</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All members of the Board of Directors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5"/>
          <w:szCs w:val="15"/>
          <w:color w:val="333333"/>
        </w:rPr>
        <w:t>All persons designated as Section 16 officers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17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059"/>
          </w:cols>
          <w:pgMar w:left="40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Exhibit B</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Insiders Subject to Quarterly Blackout Periods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All members of the Board of Directors</w:t>
      </w:r>
    </w:p>
    <w:p>
      <w:pPr>
        <w:spacing w:after="0" w:line="216" w:lineRule="exact"/>
        <w:rPr>
          <w:sz w:val="20"/>
          <w:szCs w:val="20"/>
          <w:color w:val="auto"/>
        </w:rPr>
      </w:pPr>
    </w:p>
    <w:p>
      <w:pPr>
        <w:ind w:left="60" w:right="3179"/>
        <w:spacing w:after="0" w:line="348" w:lineRule="auto"/>
        <w:rPr>
          <w:sz w:val="20"/>
          <w:szCs w:val="20"/>
          <w:color w:val="auto"/>
        </w:rPr>
      </w:pPr>
      <w:r>
        <w:rPr>
          <w:rFonts w:ascii="Arial" w:cs="Arial" w:eastAsia="Arial" w:hAnsi="Arial"/>
          <w:sz w:val="16"/>
          <w:szCs w:val="16"/>
          <w:color w:val="333333"/>
        </w:rPr>
        <w:t>All persons designated as Section 16 officers by the Board of Directors All senior vice presidents All employees with both “Chief” and “Officer” in their title</w:t>
      </w:r>
    </w:p>
    <w:p>
      <w:pPr>
        <w:spacing w:after="0" w:line="107" w:lineRule="exact"/>
        <w:rPr>
          <w:sz w:val="20"/>
          <w:szCs w:val="20"/>
          <w:color w:val="auto"/>
        </w:rPr>
      </w:pPr>
    </w:p>
    <w:p>
      <w:pPr>
        <w:ind w:left="60" w:right="1319"/>
        <w:spacing w:after="0" w:line="452" w:lineRule="auto"/>
        <w:rPr>
          <w:sz w:val="20"/>
          <w:szCs w:val="20"/>
          <w:color w:val="auto"/>
        </w:rPr>
      </w:pPr>
      <w:r>
        <w:rPr>
          <w:rFonts w:ascii="Arial" w:cs="Arial" w:eastAsia="Arial" w:hAnsi="Arial"/>
          <w:sz w:val="16"/>
          <w:szCs w:val="16"/>
          <w:color w:val="333333"/>
        </w:rPr>
        <w:t>Other individuals designated as Insiders by the Compliance Officer from time to time (Complete list to be maintained by the Company’s Stock Administration department)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18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059"/>
          </w:cols>
          <w:pgMar w:left="40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5858510</wp:posOffset>
            </wp:positionH>
            <wp:positionV relativeFrom="page">
              <wp:posOffset>88900</wp:posOffset>
            </wp:positionV>
            <wp:extent cx="1482725" cy="186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186055"/>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50"/>
          <w:szCs w:val="50"/>
          <w:b w:val="1"/>
          <w:bCs w:val="1"/>
          <w:color w:val="0F60FD"/>
        </w:rPr>
        <w:t>Exhibit C</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F60FD"/>
        </w:rPr>
        <w:t>Pre-Clearance Insiders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333333"/>
        </w:rPr>
        <w:t>All members of the Board of Directors</w:t>
      </w:r>
    </w:p>
    <w:p>
      <w:pPr>
        <w:spacing w:after="0" w:line="216" w:lineRule="exact"/>
        <w:rPr>
          <w:sz w:val="20"/>
          <w:szCs w:val="20"/>
          <w:color w:val="auto"/>
        </w:rPr>
      </w:pPr>
    </w:p>
    <w:p>
      <w:pPr>
        <w:ind w:left="60" w:right="3179"/>
        <w:spacing w:after="0" w:line="348" w:lineRule="auto"/>
        <w:rPr>
          <w:sz w:val="20"/>
          <w:szCs w:val="20"/>
          <w:color w:val="auto"/>
        </w:rPr>
      </w:pPr>
      <w:r>
        <w:rPr>
          <w:rFonts w:ascii="Arial" w:cs="Arial" w:eastAsia="Arial" w:hAnsi="Arial"/>
          <w:sz w:val="16"/>
          <w:szCs w:val="16"/>
          <w:color w:val="333333"/>
        </w:rPr>
        <w:t>All persons designated as Section 16 officers by the Board of Directors All senior vice presidents All employees with both “Chief” and “Officer” in their title</w:t>
      </w:r>
    </w:p>
    <w:p>
      <w:pPr>
        <w:spacing w:after="0" w:line="107" w:lineRule="exact"/>
        <w:rPr>
          <w:sz w:val="20"/>
          <w:szCs w:val="20"/>
          <w:color w:val="auto"/>
        </w:rPr>
      </w:pPr>
    </w:p>
    <w:p>
      <w:pPr>
        <w:ind w:left="60" w:right="239"/>
        <w:spacing w:after="0" w:line="452" w:lineRule="auto"/>
        <w:rPr>
          <w:sz w:val="20"/>
          <w:szCs w:val="20"/>
          <w:color w:val="auto"/>
        </w:rPr>
      </w:pPr>
      <w:r>
        <w:rPr>
          <w:rFonts w:ascii="Arial" w:cs="Arial" w:eastAsia="Arial" w:hAnsi="Arial"/>
          <w:sz w:val="16"/>
          <w:szCs w:val="16"/>
          <w:color w:val="333333"/>
        </w:rPr>
        <w:t>Other individuals designated as Pre-Clearance Insiders by the Compliance Officer from time to time (Complete list to be maintained by the Company’s Stock Administration department)</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666666"/>
        </w:rPr>
        <w:t xml:space="preserve">19 </w:t>
      </w:r>
      <w:r>
        <w:rPr>
          <w:rFonts w:ascii="Arial" w:cs="Arial" w:eastAsia="Arial" w:hAnsi="Arial"/>
          <w:sz w:val="13"/>
          <w:szCs w:val="13"/>
          <w:b w:val="1"/>
          <w:bCs w:val="1"/>
          <w:color w:val="333333"/>
        </w:rPr>
        <w:t>www.silabs.com</w:t>
      </w:r>
      <w:r>
        <w:rPr>
          <w:rFonts w:ascii="Arial" w:cs="Arial" w:eastAsia="Arial" w:hAnsi="Arial"/>
          <w:sz w:val="13"/>
          <w:szCs w:val="13"/>
          <w:color w:val="666666"/>
        </w:rPr>
        <w:t xml:space="preserve"> </w:t>
      </w:r>
      <w:r>
        <w:rPr>
          <w:rFonts w:ascii="Arial" w:cs="Arial" w:eastAsia="Arial" w:hAnsi="Arial"/>
          <w:sz w:val="13"/>
          <w:szCs w:val="13"/>
          <w:color w:val="333333"/>
        </w:rPr>
        <w:t>| Insider Trading Policy</w:t>
      </w:r>
    </w:p>
    <w:p>
      <w:pPr>
        <w:sectPr>
          <w:pgSz w:w="11900" w:h="16838" w:orient="portrait"/>
          <w:cols w:equalWidth="0" w:num="1">
            <w:col w:w="10059"/>
          </w:cols>
          <w:pgMar w:left="400" w:top="1440" w:right="1440"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400" w:type="dxa"/>
            <w:vAlign w:val="bottom"/>
          </w:tcPr>
          <w:p>
            <w:pPr>
              <w:ind w:left="4260"/>
              <w:spacing w:after="0"/>
              <w:rPr>
                <w:sz w:val="20"/>
                <w:szCs w:val="20"/>
                <w:color w:val="auto"/>
              </w:rPr>
            </w:pPr>
            <w:r>
              <w:rPr>
                <w:rFonts w:ascii="Times New Roman" w:cs="Times New Roman" w:eastAsia="Times New Roman" w:hAnsi="Times New Roman"/>
                <w:sz w:val="21"/>
                <w:szCs w:val="21"/>
                <w:b w:val="1"/>
                <w:bCs w:val="1"/>
                <w:color w:val="auto"/>
              </w:rPr>
              <w:t>Subsidiaries of the Registrant</w:t>
            </w:r>
          </w:p>
        </w:tc>
        <w:tc>
          <w:tcPr>
            <w:tcW w:w="2820" w:type="dxa"/>
            <w:vAlign w:val="bottom"/>
          </w:tcPr>
          <w:p>
            <w:pPr>
              <w:spacing w:after="0"/>
              <w:rPr>
                <w:sz w:val="24"/>
                <w:szCs w:val="24"/>
                <w:color w:val="auto"/>
              </w:rPr>
            </w:pPr>
          </w:p>
        </w:tc>
      </w:tr>
      <w:tr>
        <w:trPr>
          <w:trHeight w:val="492"/>
        </w:trPr>
        <w:tc>
          <w:tcPr>
            <w:tcW w:w="8400" w:type="dxa"/>
            <w:vAlign w:val="bottom"/>
          </w:tcPr>
          <w:p>
            <w:pPr>
              <w:spacing w:after="0"/>
              <w:rPr>
                <w:sz w:val="24"/>
                <w:szCs w:val="24"/>
                <w:color w:val="auto"/>
              </w:rPr>
            </w:pPr>
          </w:p>
        </w:tc>
        <w:tc>
          <w:tcPr>
            <w:tcW w:w="2820" w:type="dxa"/>
            <w:vAlign w:val="bottom"/>
          </w:tcPr>
          <w:p>
            <w:pPr>
              <w:ind w:left="940"/>
              <w:spacing w:after="0"/>
              <w:rPr>
                <w:sz w:val="20"/>
                <w:szCs w:val="20"/>
                <w:color w:val="auto"/>
              </w:rPr>
            </w:pPr>
            <w:r>
              <w:rPr>
                <w:rFonts w:ascii="Times New Roman" w:cs="Times New Roman" w:eastAsia="Times New Roman" w:hAnsi="Times New Roman"/>
                <w:sz w:val="21"/>
                <w:szCs w:val="21"/>
                <w:b w:val="1"/>
                <w:bCs w:val="1"/>
                <w:color w:val="auto"/>
              </w:rPr>
              <w:t>Organized</w:t>
            </w:r>
          </w:p>
        </w:tc>
      </w:tr>
      <w:tr>
        <w:trPr>
          <w:trHeight w:val="292"/>
        </w:trPr>
        <w:tc>
          <w:tcPr>
            <w:tcW w:w="8400" w:type="dxa"/>
            <w:vAlign w:val="bottom"/>
          </w:tcPr>
          <w:p>
            <w:pPr>
              <w:spacing w:after="0"/>
              <w:rPr>
                <w:sz w:val="24"/>
                <w:szCs w:val="24"/>
                <w:color w:val="auto"/>
              </w:rPr>
            </w:pPr>
          </w:p>
        </w:tc>
        <w:tc>
          <w:tcPr>
            <w:tcW w:w="2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1"/>
                <w:szCs w:val="21"/>
                <w:b w:val="1"/>
                <w:bCs w:val="1"/>
                <w:color w:val="auto"/>
              </w:rPr>
              <w:t>Under Law Of</w:t>
            </w:r>
          </w:p>
        </w:tc>
      </w:tr>
      <w:tr>
        <w:trPr>
          <w:trHeight w:val="278"/>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Canada ULC</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Canada</w:t>
            </w:r>
          </w:p>
        </w:tc>
      </w:tr>
      <w:tr>
        <w:trPr>
          <w:trHeight w:val="293"/>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Shenzhen Silicon Laboratories Technology Co. Ltd.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China</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Denmark Aps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Denmark</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Finland Oy</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Finland</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France SAS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France</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GmbH</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Germany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Asia Pacific,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Hong Kong</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Hungary Korlátolt Felelősségű Társaság</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Hungary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Silabs India Private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India</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Italy, S.r.l.</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Italy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Y.K.</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Japan</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Norway AS</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Norway</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International Pte. Ltd.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Singapore</w:t>
            </w:r>
          </w:p>
        </w:tc>
      </w:tr>
      <w:tr>
        <w:trPr>
          <w:trHeight w:val="294"/>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Silicon Laboratories UK Limited</w:t>
            </w:r>
          </w:p>
        </w:tc>
        <w:tc>
          <w:tcPr>
            <w:tcW w:w="2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United Kingdom</w:t>
            </w:r>
          </w:p>
        </w:tc>
      </w:tr>
    </w:tbl>
    <w:p>
      <w:pPr>
        <w:sectPr>
          <w:pgSz w:w="11900" w:h="16838" w:orient="portrait"/>
          <w:cols w:equalWidth="0" w:num="1">
            <w:col w:w="11220"/>
          </w:cols>
          <w:pgMar w:left="340" w:top="35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333-195558, 333-219454 and 333-255785) of Silicon Laboratories Inc. of our reports dated February 4, 2025, with respect to the consolidated financial statements of Silicon Laboratories Inc., and the effectiveness of internal control over financial reporting of Silicon Laboratories Inc., included in this Annual Report (Form 10-K) for the fiscal year ended December 28, 2024.</w:t>
      </w:r>
    </w:p>
    <w:p>
      <w:pPr>
        <w:spacing w:after="0" w:line="20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rPr>
          <w:sz w:val="20"/>
          <w:szCs w:val="20"/>
          <w:color w:val="auto"/>
        </w:rPr>
      </w:pPr>
      <w:r>
        <w:rPr>
          <w:rFonts w:ascii="Times New Roman" w:cs="Times New Roman" w:eastAsia="Times New Roman" w:hAnsi="Times New Roman"/>
          <w:sz w:val="18"/>
          <w:szCs w:val="18"/>
          <w:color w:val="auto"/>
        </w:rPr>
        <w:t>February 4, 2025</w:t>
      </w:r>
    </w:p>
    <w:p>
      <w:pPr>
        <w:sectPr>
          <w:pgSz w:w="11900" w:h="16838" w:orient="portrait"/>
          <w:cols w:equalWidth="0" w:num="1">
            <w:col w:w="11240"/>
          </w:cols>
          <w:pgMar w:left="320" w:top="35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Matthew Johnson, certify that:</w:t>
      </w:r>
    </w:p>
    <w:p>
      <w:pPr>
        <w:spacing w:after="0" w:line="180" w:lineRule="exact"/>
        <w:rPr>
          <w:sz w:val="20"/>
          <w:szCs w:val="20"/>
          <w:color w:val="auto"/>
        </w:rPr>
      </w:pPr>
    </w:p>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Silicon Laboratories Inc.;</w:t>
      </w:r>
    </w:p>
    <w:p>
      <w:pPr>
        <w:spacing w:after="0" w:line="17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80" w:right="60" w:hanging="313"/>
        <w:spacing w:after="0" w:line="262" w:lineRule="auto"/>
        <w:tabs>
          <w:tab w:leader="none" w:pos="12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280" w:right="180" w:hanging="313"/>
        <w:spacing w:after="0" w:line="262"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80" w:right="340" w:hanging="313"/>
        <w:spacing w:after="0" w:line="307" w:lineRule="auto"/>
        <w:tabs>
          <w:tab w:leader="none" w:pos="127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left="1280" w:right="40" w:hanging="313"/>
        <w:spacing w:after="0" w:line="262"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280" w:right="580" w:hanging="313"/>
        <w:spacing w:after="0" w:line="307" w:lineRule="auto"/>
        <w:tabs>
          <w:tab w:leader="none" w:pos="127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80" w:lineRule="exact"/>
        <w:rPr>
          <w:sz w:val="20"/>
          <w:szCs w:val="20"/>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Silicon Laboratories Inc.;</w:t>
      </w:r>
    </w:p>
    <w:p>
      <w:pPr>
        <w:spacing w:after="0" w:line="179"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40" w:right="240" w:hanging="313"/>
        <w:spacing w:after="0" w:line="26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280" w:right="60" w:hanging="313"/>
        <w:spacing w:after="0" w:line="262" w:lineRule="auto"/>
        <w:tabs>
          <w:tab w:leader="none" w:pos="12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280" w:right="180" w:hanging="313"/>
        <w:spacing w:after="0" w:line="262" w:lineRule="auto"/>
        <w:tabs>
          <w:tab w:leader="none" w:pos="12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280" w:right="340" w:hanging="313"/>
        <w:spacing w:after="0" w:line="307" w:lineRule="auto"/>
        <w:tabs>
          <w:tab w:leader="none" w:pos="127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left="1280" w:right="40" w:hanging="313"/>
        <w:spacing w:after="0" w:line="262" w:lineRule="auto"/>
        <w:tabs>
          <w:tab w:leader="none" w:pos="12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280" w:right="580" w:hanging="313"/>
        <w:spacing w:after="0" w:line="307" w:lineRule="auto"/>
        <w:tabs>
          <w:tab w:leader="none" w:pos="127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125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812540"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each of the undersigned officers of Silicon Laboratories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certify that:</w:t>
      </w:r>
    </w:p>
    <w:p>
      <w:pPr>
        <w:spacing w:after="0" w:line="161" w:lineRule="exact"/>
        <w:rPr>
          <w:sz w:val="20"/>
          <w:szCs w:val="20"/>
          <w:color w:val="auto"/>
        </w:rPr>
      </w:pPr>
    </w:p>
    <w:p>
      <w:pPr>
        <w:jc w:val="both"/>
        <w:ind w:left="640" w:right="520" w:hanging="313"/>
        <w:spacing w:after="0" w:line="262"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28, 2024 as filed with the Securities and Exchange Commission (the “Report”) fully complies with the requirements of Section 13(a) or Section 15(d), as applicable, of the Securities Exchange Act of 1934; and</w:t>
      </w:r>
    </w:p>
    <w:p>
      <w:pPr>
        <w:spacing w:after="0" w:line="1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right="140" w:firstLine="126"/>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67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endash "/>
      <w:numFmt w:val="bullet"/>
      <w:start w:val="1"/>
    </w:lvl>
  </w:abstractNum>
  <w:abstractNum w:abstractNumId="4">
    <w:nsid w:val="333AB105"/>
    <w:multiLevelType w:val="hybridMultilevel"/>
    <w:lvl w:ilvl="0">
      <w:lvlJc w:val="left"/>
      <w:lvlText w:val="\endash "/>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3"/>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decimal"/>
      <w:start w:val="19"/>
    </w:lvl>
  </w:abstractNum>
  <w:abstractNum w:abstractNumId="29">
    <w:nsid w:val="614FD4A1"/>
    <w:multiLevelType w:val="hybridMultilevel"/>
    <w:lvl w:ilvl="0">
      <w:lvlJc w:val="left"/>
      <w:lvlText w:val="%1"/>
      <w:numFmt w:val="decimal"/>
      <w:start w:val="21"/>
    </w:lvl>
  </w:abstractNum>
  <w:abstractNum w:abstractNumId="30">
    <w:nsid w:val="419AC241"/>
    <w:multiLevelType w:val="hybridMultilevel"/>
    <w:lvl w:ilvl="0">
      <w:lvlJc w:val="left"/>
      <w:lvlText w:val="%1"/>
      <w:numFmt w:val="decimal"/>
      <w:start w:val="24"/>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upp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jpeg"/><Relationship Id="rId119" Type="http://schemas.openxmlformats.org/officeDocument/2006/relationships/image" Target="media/image90.jpeg"/><Relationship Id="rId120" Type="http://schemas.openxmlformats.org/officeDocument/2006/relationships/image" Target="media/image91.jpeg"/><Relationship Id="rId121" Type="http://schemas.openxmlformats.org/officeDocument/2006/relationships/image" Target="media/image92.jpeg"/><Relationship Id="rId122" Type="http://schemas.openxmlformats.org/officeDocument/2006/relationships/image" Target="media/image93.jpeg"/><Relationship Id="rId123" Type="http://schemas.openxmlformats.org/officeDocument/2006/relationships/image" Target="media/image94.jpeg"/><Relationship Id="rId124" Type="http://schemas.openxmlformats.org/officeDocument/2006/relationships/image" Target="media/image95.jpeg"/><Relationship Id="rId125" Type="http://schemas.openxmlformats.org/officeDocument/2006/relationships/image" Target="media/image96.jpeg"/><Relationship Id="rId126" Type="http://schemas.openxmlformats.org/officeDocument/2006/relationships/image" Target="media/image97.jpeg"/><Relationship Id="rId127" Type="http://schemas.openxmlformats.org/officeDocument/2006/relationships/image" Target="media/image98.jpeg"/><Relationship Id="rId128" Type="http://schemas.openxmlformats.org/officeDocument/2006/relationships/image" Target="media/image99.jpeg"/><Relationship Id="rId129" Type="http://schemas.openxmlformats.org/officeDocument/2006/relationships/image" Target="media/image100.jpeg"/><Relationship Id="rId130" Type="http://schemas.openxmlformats.org/officeDocument/2006/relationships/image" Target="media/image101.jpeg"/><Relationship Id="rId131" Type="http://schemas.openxmlformats.org/officeDocument/2006/relationships/image" Target="media/image102.jpeg"/><Relationship Id="rId132" Type="http://schemas.openxmlformats.org/officeDocument/2006/relationships/image" Target="media/image103.jpeg"/><Relationship Id="rId133" Type="http://schemas.openxmlformats.org/officeDocument/2006/relationships/image" Target="media/image104.jpeg"/><Relationship Id="rId134" Type="http://schemas.openxmlformats.org/officeDocument/2006/relationships/image" Target="media/image105.jpeg"/><Relationship Id="rId135" Type="http://schemas.openxmlformats.org/officeDocument/2006/relationships/image" Target="media/image106.jpeg"/><Relationship Id="rId136" Type="http://schemas.openxmlformats.org/officeDocument/2006/relationships/image" Target="media/image107.jpe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56" Type="http://schemas.openxmlformats.org/officeDocument/2006/relationships/hyperlink" Target="https://www.sec.gov/Archives/edgar/data/1038074/000110465921053826/tm2113472d1_ex2-1.htm" TargetMode="External"/><Relationship Id="rId57" Type="http://schemas.openxmlformats.org/officeDocument/2006/relationships/hyperlink" Target="https://www.sec.gov/Archives/edgar/data/1038074/0000912057-00-001536-index.html" TargetMode="External"/><Relationship Id="rId58" Type="http://schemas.openxmlformats.org/officeDocument/2006/relationships/hyperlink" Target="https://www.sec.gov/Archives/edgar/data/1038074/000110465921011526/tm214455d2_ex3-1.htm" TargetMode="External"/><Relationship Id="rId59" Type="http://schemas.openxmlformats.org/officeDocument/2006/relationships/hyperlink" Target="https://www.sec.gov/Archives/edgar/data/1038074/000110465923009254/slab-20221231xex4d7.htm" TargetMode="External"/><Relationship Id="rId62" Type="http://schemas.openxmlformats.org/officeDocument/2006/relationships/hyperlink" Target="https://www.sec.gov/Archives/edgar/data/1038074/000110465912053190/a12-17377_1ex10d1.htm" TargetMode="External"/><Relationship Id="rId63" Type="http://schemas.openxmlformats.org/officeDocument/2006/relationships/hyperlink" Target="https://www.sec.gov/Archives/edgar/data/1038074/000110465915054044/a15-16382_1ex10d1.htm" TargetMode="External"/><Relationship Id="rId64" Type="http://schemas.openxmlformats.org/officeDocument/2006/relationships/hyperlink" Target="https://www.sec.gov/Archives/edgar/data/1038074/000119312517058950/d342600dex101.htm" TargetMode="External"/><Relationship Id="rId65" Type="http://schemas.openxmlformats.org/officeDocument/2006/relationships/hyperlink" Target="https://www.sec.gov/Archives/edgar/data/1038074/000141057819000701/tv526850_ex10-1.htm" TargetMode="External"/><Relationship Id="rId66" Type="http://schemas.openxmlformats.org/officeDocument/2006/relationships/hyperlink" Target="https://www.sec.gov/Archives/edgar/data/1038074/000119312520152205/d909911dex101.htm" TargetMode="External"/><Relationship Id="rId67" Type="http://schemas.openxmlformats.org/officeDocument/2006/relationships/hyperlink" Target="https://www.sec.gov/Archives/edgar/data/1038074/000110465912053190/a12-17377_1ex10d2.htm" TargetMode="External"/><Relationship Id="rId68" Type="http://schemas.openxmlformats.org/officeDocument/2006/relationships/hyperlink" Target="https://www.sec.gov/Archives/edgar/data/1038074/000104746917000461/a2230770zex-10_7.htm" TargetMode="External"/><Relationship Id="rId69" Type="http://schemas.openxmlformats.org/officeDocument/2006/relationships/hyperlink" Target="https://www.sec.gov/Archives/edgar/data/1038074/000104746917000461/a2230770zex-10_8.htm" TargetMode="External"/><Relationship Id="rId70" Type="http://schemas.openxmlformats.org/officeDocument/2006/relationships/hyperlink" Target="https://www.sec.gov/Archives/edgar/data/1038074/000104746917000461/a2230770zex-10_9.htm" TargetMode="External"/><Relationship Id="rId71" Type="http://schemas.openxmlformats.org/officeDocument/2006/relationships/hyperlink" Target="https://www.sec.gov/Archives/edgar/data/1038074/000110465921068117/tm2116568d1_ex10-2.htm" TargetMode="External"/><Relationship Id="rId72" Type="http://schemas.openxmlformats.org/officeDocument/2006/relationships/hyperlink" Target="https://www.sec.gov/Archives/edgar/data/1038074/000110465921068117/tm2116568d1_ex10-3.htm" TargetMode="External"/><Relationship Id="rId73" Type="http://schemas.openxmlformats.org/officeDocument/2006/relationships/hyperlink" Target="https://www.sec.gov/Archives/edgar/data/1038074/000110465921061719/tm2114482d1_ex4-3.htm" TargetMode="External"/><Relationship Id="rId74" Type="http://schemas.openxmlformats.org/officeDocument/2006/relationships/hyperlink" Target="https://www.sec.gov/Archives/edgar/data/1038074/000110465921061719/tm2114482d1_ex4-4.htm" TargetMode="External"/><Relationship Id="rId75" Type="http://schemas.openxmlformats.org/officeDocument/2006/relationships/hyperlink" Target="https://www.sec.gov/Archives/edgar/data/1038074/000110465921152747/tm2136176d1_ex10-1.htm" TargetMode="External"/><Relationship Id="rId76" Type="http://schemas.openxmlformats.org/officeDocument/2006/relationships/hyperlink" Target="https://www.sec.gov/Archives/edgar/data/1038074/000110465923009254/slab-20221231xex10d20.htm" TargetMode="External"/><Relationship Id="rId77" Type="http://schemas.openxmlformats.org/officeDocument/2006/relationships/hyperlink" Target="https://www.sec.gov/ix?doc=/Archives/edgar/data/1038074/000110465923077604/tm2320321d1_8k.htm" TargetMode="External"/><Relationship Id="rId78" Type="http://schemas.openxmlformats.org/officeDocument/2006/relationships/hyperlink" Target="https://www.sec.gov/Archives/edgar/data/1038074/000110465924025535/slab-20231230xex10d19.htm" TargetMode="External"/><Relationship Id="rId81" Type="http://schemas.openxmlformats.org/officeDocument/2006/relationships/hyperlink" Target="https://www.sec.gov/Archives/edgar/data/1038074/000110465924025535/slab-202312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2025-02-04T14:25:28Z</dcterms:created>
  <dcterms:modified xsi:type="dcterms:W3CDTF">2025-02-04T14:25:28Z</dcterms:modified>
</cp:coreProperties>
</file>