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FORM 10-Q</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28, 2024</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000-29823</w:t>
      </w:r>
    </w:p>
    <w:p>
      <w:pPr>
        <w:pStyle w:val="TextBody"/>
        <w:bidi w:val="0"/>
        <w:spacing w:lineRule="auto" w:line="288" w:before="60" w:after="283"/>
        <w:jc w:val="center"/>
        <w:rPr>
          <w:rFonts w:ascii="Times New Roman;sans-serif" w:hAnsi="Times New Roman;sans-serif"/>
          <w:b/>
          <w:color w:val="000000"/>
          <w:sz w:val="34"/>
        </w:rPr>
      </w:pPr>
      <w:r>
        <w:rPr>
          <w:rFonts w:ascii="Times New Roman;sans-serif" w:hAnsi="Times New Roman;sans-serif"/>
          <w:b/>
          <w:color w:val="000000"/>
          <w:sz w:val="34"/>
        </w:rPr>
        <w:t>SILICON LABORATORIES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035" w:type="dxa"/>
        <w:jc w:val="left"/>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74-2793174</w:t>
            </w:r>
          </w:p>
        </w:tc>
      </w:tr>
      <w:tr>
        <w:trPr/>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tbl>
      <w:tblPr>
        <w:tblW w:w="4019" w:type="dxa"/>
        <w:jc w:val="left"/>
        <w:tblInd w:w="0" w:type="dxa"/>
        <w:tblLayout w:type="fixed"/>
        <w:tblCellMar>
          <w:top w:w="28" w:type="dxa"/>
          <w:left w:w="28" w:type="dxa"/>
          <w:bottom w:w="28" w:type="dxa"/>
          <w:right w:w="28" w:type="dxa"/>
        </w:tblCellMar>
      </w:tblPr>
      <w:tblGrid>
        <w:gridCol w:w="1117"/>
        <w:gridCol w:w="982"/>
        <w:gridCol w:w="991"/>
        <w:gridCol w:w="272"/>
        <w:gridCol w:w="272"/>
        <w:gridCol w:w="385"/>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8"/>
              </w:rPr>
            </w:pPr>
            <w:r>
              <w:rPr>
                <w:rFonts w:ascii="Times New Roman;sans-serif" w:hAnsi="Times New Roman;sans-serif"/>
                <w:b/>
                <w:color w:val="000000"/>
                <w:sz w:val="18"/>
              </w:rPr>
              <w:t>400 West Cesar Chavez, Austin, Texas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78701</w:t>
            </w:r>
          </w:p>
        </w:tc>
      </w:tr>
      <w:tr>
        <w:trPr/>
        <w:tc>
          <w:tcPr>
            <w:tcW w:w="3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(512) 416-8500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433" w:type="dxa"/>
        <w:jc w:val="left"/>
        <w:tblInd w:w="0" w:type="dxa"/>
        <w:tblLayout w:type="fixed"/>
        <w:tblCellMar>
          <w:top w:w="28" w:type="dxa"/>
          <w:left w:w="28" w:type="dxa"/>
          <w:bottom w:w="28" w:type="dxa"/>
          <w:right w:w="28" w:type="dxa"/>
        </w:tblCellMar>
      </w:tblPr>
      <w:tblGrid>
        <w:gridCol w:w="938"/>
        <w:gridCol w:w="826"/>
        <w:gridCol w:w="831"/>
        <w:gridCol w:w="109"/>
        <w:gridCol w:w="109"/>
        <w:gridCol w:w="109"/>
        <w:gridCol w:w="519"/>
        <w:gridCol w:w="519"/>
        <w:gridCol w:w="521"/>
        <w:gridCol w:w="109"/>
        <w:gridCol w:w="109"/>
        <w:gridCol w:w="109"/>
        <w:gridCol w:w="769"/>
        <w:gridCol w:w="769"/>
        <w:gridCol w:w="1087"/>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Name of each exchange</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on which registered</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ind w:left="0" w:right="0" w:firstLine="288"/>
        <w:jc w:val="right"/>
        <w:rPr/>
      </w:pP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283"/>
        <w:ind w:left="0" w:right="0" w:firstLine="288"/>
        <w:jc w:val="right"/>
        <w:rPr/>
      </w:pP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581" w:type="dxa"/>
        <w:jc w:val="left"/>
        <w:tblInd w:w="0" w:type="dxa"/>
        <w:tblLayout w:type="fixed"/>
        <w:tblCellMar>
          <w:top w:w="28" w:type="dxa"/>
          <w:left w:w="28" w:type="dxa"/>
          <w:bottom w:w="28" w:type="dxa"/>
          <w:right w:w="28" w:type="dxa"/>
        </w:tblCellMar>
      </w:tblPr>
      <w:tblGrid>
        <w:gridCol w:w="695"/>
        <w:gridCol w:w="611"/>
        <w:gridCol w:w="613"/>
        <w:gridCol w:w="479"/>
        <w:gridCol w:w="479"/>
        <w:gridCol w:w="481"/>
        <w:gridCol w:w="584"/>
        <w:gridCol w:w="584"/>
        <w:gridCol w:w="586"/>
        <w:gridCol w:w="734"/>
        <w:gridCol w:w="734"/>
        <w:gridCol w:w="737"/>
        <w:gridCol w:w="662"/>
        <w:gridCol w:w="662"/>
        <w:gridCol w:w="94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7"/>
              </w:rPr>
              <w:t xml:space="preserve">Large accelerated filer </w:t>
            </w: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7"/>
              </w:rPr>
              <w:t xml:space="preserve">Accelerated filer </w:t>
            </w:r>
            <w:r>
              <w:rPr>
                <w:rFonts w:ascii="Wingdings;sans-serif" w:hAnsi="Wingdings;sans-serif"/>
                <w:b w:val="false"/>
                <w:color w:val="000000"/>
                <w:sz w:val="17"/>
              </w:rPr>
              <w:t>o</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7"/>
              </w:rPr>
              <w:t xml:space="preserve">Non-accelerated filer </w:t>
            </w:r>
            <w:r>
              <w:rPr>
                <w:rFonts w:ascii="Wingdings;sans-serif" w:hAnsi="Wingdings;sans-serif"/>
                <w:b w:val="false"/>
                <w:color w:val="000000"/>
                <w:sz w:val="17"/>
              </w:rPr>
              <w:t>o</w:t>
            </w:r>
          </w:p>
        </w:tc>
        <w:tc>
          <w:tcPr>
            <w:tcW w:w="2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7"/>
              </w:rPr>
              <w:t xml:space="preserve">Smaller reporting company </w:t>
            </w:r>
            <w:r>
              <w:rPr>
                <w:rFonts w:ascii="Wingdings;sans-serif" w:hAnsi="Wingdings;sans-serif"/>
                <w:b w:val="false"/>
                <w:color w:val="000000"/>
                <w:sz w:val="17"/>
              </w:rPr>
              <w:t>o</w:t>
            </w:r>
          </w:p>
        </w:tc>
        <w:tc>
          <w:tcPr>
            <w:tcW w:w="226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7"/>
              </w:rPr>
              <w:t xml:space="preserve">Emerging growth company </w:t>
            </w:r>
            <w:r>
              <w:rPr>
                <w:rFonts w:ascii="Wingdings;sans-serif" w:hAnsi="Wingdings;sans-serif"/>
                <w:b w:val="false"/>
                <w:color w:val="000000"/>
                <w:sz w:val="17"/>
              </w:rPr>
              <w:t>o</w:t>
            </w:r>
          </w:p>
        </w:tc>
      </w:tr>
    </w:tbl>
    <w:p>
      <w:pPr>
        <w:pStyle w:val="TextBody"/>
        <w:bidi w:val="0"/>
        <w:spacing w:lineRule="auto" w:line="288" w:before="6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60" w:after="283"/>
        <w:ind w:left="0" w:right="0" w:firstLine="288"/>
        <w:jc w:val="righ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29, 2024, 32,448,037 shares of common stock of Silicon Laboratories Inc.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53"/>
        <w:gridCol w:w="310"/>
        <w:gridCol w:w="310"/>
        <w:gridCol w:w="2893"/>
        <w:gridCol w:w="2787"/>
        <w:gridCol w:w="2754"/>
        <w:gridCol w:w="233"/>
        <w:gridCol w:w="233"/>
        <w:gridCol w:w="332"/>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07"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0">
              <w:r>
                <w:rPr>
                  <w:rStyle w:val="InternetLink"/>
                  <w:rFonts w:ascii="Times New Roman;sans-serif" w:hAnsi="Times New Roman;sans-serif"/>
                  <w:b w:val="false"/>
                  <w:color w:val="0000EE"/>
                  <w:sz w:val="20"/>
                  <w:u w:val="single"/>
                </w:rPr>
                <w:t>Part I. Financial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
              <w:r>
                <w:rPr>
                  <w:rStyle w:val="InternetLink"/>
                  <w:rFonts w:ascii="Times New Roman;sans-serif" w:hAnsi="Times New Roman;sans-serif"/>
                  <w:b w:val="false"/>
                  <w:color w:val="0000EE"/>
                  <w:sz w:val="20"/>
                  <w:u w:val="single"/>
                </w:rPr>
                <w:t>Item 1.</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
              <w:r>
                <w:rPr>
                  <w:rStyle w:val="InternetLink"/>
                  <w:rFonts w:ascii="Times New Roman;sans-serif" w:hAnsi="Times New Roman;sans-serif"/>
                  <w:b w:val="false"/>
                  <w:color w:val="0000EE"/>
                  <w:sz w:val="20"/>
                  <w:u w:val="single"/>
                </w:rPr>
                <w:t>Financial Statements (Unaudited):</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6">
              <w:r>
                <w:rPr>
                  <w:rStyle w:val="InternetLink"/>
                  <w:rFonts w:ascii="Times New Roman;sans-serif" w:hAnsi="Times New Roman;sans-serif"/>
                  <w:b w:val="false"/>
                  <w:color w:val="000080"/>
                  <w:sz w:val="20"/>
                  <w:u w:val="single"/>
                </w:rPr>
                <w:t xml:space="preserve">Condensed Consolidated Balance Sheets at </w:t>
              </w:r>
            </w:hyperlink>
            <w:r>
              <w:rPr>
                <w:rFonts w:ascii="Times New Roman;sans-serif" w:hAnsi="Times New Roman;sans-serif"/>
                <w:b w:val="false"/>
                <w:color w:val="0000EE"/>
                <w:sz w:val="20"/>
                <w:u w:val="single"/>
              </w:rPr>
              <w:t>September 28, 2024</w:t>
            </w:r>
            <w:hyperlink w:anchor="ifab9b4828c1f40298760f0fb8b450bf0_16">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EE"/>
                <w:sz w:val="20"/>
                <w:u w:val="single"/>
              </w:rPr>
              <w:t>December 30, 2023</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fab9b4828c1f40298760f0fb8b450bf0_19">
              <w:r>
                <w:rPr>
                  <w:rStyle w:val="InternetLink"/>
                  <w:rFonts w:ascii="Times New Roman;sans-serif" w:hAnsi="Times New Roman;sans-serif"/>
                  <w:b w:val="false"/>
                  <w:color w:val="000080"/>
                  <w:sz w:val="20"/>
                  <w:u w:val="single"/>
                </w:rPr>
                <w:t xml:space="preserve">Condensed Consolidated Statements of </w:t>
              </w:r>
            </w:hyperlink>
            <w:r>
              <w:rPr>
                <w:rFonts w:ascii="Times New Roman;sans-serif" w:hAnsi="Times New Roman;sans-serif"/>
                <w:b w:val="false"/>
                <w:color w:val="0000EE"/>
                <w:sz w:val="20"/>
                <w:u w:val="single"/>
              </w:rPr>
              <w:t>Operations</w:t>
            </w:r>
            <w:hyperlink w:anchor="ifab9b4828c1f40298760f0fb8b450bf0_19">
              <w:r>
                <w:rPr>
                  <w:rStyle w:val="InternetLink"/>
                  <w:rFonts w:ascii="Times New Roman;sans-serif" w:hAnsi="Times New Roman;sans-serif"/>
                  <w:b w:val="false"/>
                  <w:color w:val="000080"/>
                  <w:sz w:val="20"/>
                  <w:u w:val="single"/>
                </w:rPr>
                <w:t xml:space="preserve"> for the </w:t>
              </w:r>
            </w:hyperlink>
            <w:r>
              <w:rPr>
                <w:rFonts w:ascii="Times New Roman;sans-serif" w:hAnsi="Times New Roman;sans-serif"/>
                <w:b w:val="false"/>
                <w:color w:val="0000EE"/>
                <w:sz w:val="20"/>
                <w:u w:val="single"/>
              </w:rPr>
              <w:t>three and nine</w:t>
            </w:r>
            <w:hyperlink w:anchor="ifab9b4828c1f40298760f0fb8b450bf0_19">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EE"/>
                <w:sz w:val="20"/>
                <w:u w:val="single"/>
              </w:rPr>
              <w:t>September 28, 2024</w:t>
            </w:r>
            <w:hyperlink w:anchor="ifab9b4828c1f40298760f0fb8b450bf0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EE"/>
                <w:sz w:val="20"/>
                <w:u w:val="single"/>
              </w:rPr>
              <w:t>September 30, 2023</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9">
              <w:r>
                <w:rPr>
                  <w:rStyle w:val="InternetLink"/>
                  <w:rFonts w:ascii="Times New Roman;sans-serif" w:hAnsi="Times New Roman;sans-serif"/>
                  <w:b w:val="false"/>
                  <w:strike w:val="false"/>
                  <w:dstrike w:val="false"/>
                  <w:color w:val="000000"/>
                  <w:sz w:val="20"/>
                  <w:u w:val="none"/>
                  <w:effect w:val="none"/>
                </w:rPr>
                <w:t>4</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fab9b4828c1f40298760f0fb8b450bf0_22">
              <w:r>
                <w:rPr>
                  <w:rStyle w:val="InternetLink"/>
                  <w:rFonts w:ascii="Times New Roman;sans-serif" w:hAnsi="Times New Roman;sans-serif"/>
                  <w:b w:val="false"/>
                  <w:color w:val="000080"/>
                  <w:sz w:val="20"/>
                  <w:u w:val="single"/>
                </w:rPr>
                <w:t xml:space="preserve">Condensed Consolidated Statements of </w:t>
              </w:r>
            </w:hyperlink>
            <w:r>
              <w:rPr>
                <w:rFonts w:ascii="Times New Roman;sans-serif" w:hAnsi="Times New Roman;sans-serif"/>
                <w:b w:val="false"/>
                <w:color w:val="0000EE"/>
                <w:sz w:val="20"/>
                <w:u w:val="single"/>
              </w:rPr>
              <w:t>Comprehensive Income (Loss)</w:t>
            </w:r>
            <w:hyperlink w:anchor="ifab9b4828c1f40298760f0fb8b450bf0_22">
              <w:r>
                <w:rPr>
                  <w:rStyle w:val="InternetLink"/>
                  <w:rFonts w:ascii="Times New Roman;sans-serif" w:hAnsi="Times New Roman;sans-serif"/>
                  <w:b w:val="false"/>
                  <w:color w:val="000080"/>
                  <w:sz w:val="20"/>
                  <w:u w:val="single"/>
                </w:rPr>
                <w:t xml:space="preserve"> for the </w:t>
              </w:r>
            </w:hyperlink>
            <w:r>
              <w:rPr>
                <w:rFonts w:ascii="Times New Roman;sans-serif" w:hAnsi="Times New Roman;sans-serif"/>
                <w:b w:val="false"/>
                <w:color w:val="0000EE"/>
                <w:sz w:val="20"/>
                <w:u w:val="single"/>
              </w:rPr>
              <w:t>three and nine</w:t>
            </w:r>
            <w:hyperlink w:anchor="ifab9b4828c1f40298760f0fb8b450bf0_22">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EE"/>
                <w:sz w:val="20"/>
                <w:u w:val="single"/>
              </w:rPr>
              <w:t>September 28, 2024</w:t>
            </w:r>
            <w:hyperlink w:anchor="ifab9b4828c1f40298760f0fb8b450bf0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EE"/>
                <w:sz w:val="20"/>
                <w:u w:val="single"/>
              </w:rPr>
              <w:t>September 30, 2023</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22">
              <w:r>
                <w:rPr>
                  <w:rStyle w:val="InternetLink"/>
                  <w:rFonts w:ascii="Times New Roman;sans-serif" w:hAnsi="Times New Roman;sans-serif"/>
                  <w:b w:val="false"/>
                  <w:strike w:val="false"/>
                  <w:dstrike w:val="false"/>
                  <w:color w:val="000000"/>
                  <w:sz w:val="20"/>
                  <w:u w:val="none"/>
                  <w:effect w:val="none"/>
                </w:rPr>
                <w:t>5</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fab9b4828c1f40298760f0fb8b450bf0_25">
              <w:r>
                <w:rPr>
                  <w:rStyle w:val="InternetLink"/>
                  <w:rFonts w:ascii="Times New Roman;sans-serif" w:hAnsi="Times New Roman;sans-serif"/>
                  <w:b w:val="false"/>
                  <w:color w:val="000080"/>
                  <w:sz w:val="20"/>
                  <w:u w:val="single"/>
                </w:rPr>
                <w:t xml:space="preserve">Condensed Consolidated Statements of Changes in Stockholders’ Equity for the </w:t>
              </w:r>
            </w:hyperlink>
            <w:r>
              <w:rPr>
                <w:rFonts w:ascii="Times New Roman;sans-serif" w:hAnsi="Times New Roman;sans-serif"/>
                <w:b w:val="false"/>
                <w:color w:val="0000EE"/>
                <w:sz w:val="20"/>
                <w:u w:val="single"/>
              </w:rPr>
              <w:t>three and nine</w:t>
            </w:r>
            <w:hyperlink w:anchor="ifab9b4828c1f40298760f0fb8b450bf0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EE"/>
                <w:sz w:val="20"/>
                <w:u w:val="single"/>
              </w:rPr>
              <w:t>September 28, 2024</w:t>
            </w:r>
            <w:hyperlink w:anchor="ifab9b4828c1f40298760f0fb8b450bf0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EE"/>
                <w:sz w:val="20"/>
                <w:u w:val="single"/>
              </w:rPr>
              <w:t>September 30, 2023</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25">
              <w:r>
                <w:rPr>
                  <w:rStyle w:val="InternetLink"/>
                  <w:rFonts w:ascii="Times New Roman;sans-serif" w:hAnsi="Times New Roman;sans-serif"/>
                  <w:b w:val="false"/>
                  <w:strike w:val="false"/>
                  <w:dstrike w:val="false"/>
                  <w:color w:val="000000"/>
                  <w:sz w:val="20"/>
                  <w:u w:val="none"/>
                  <w:effect w:val="none"/>
                </w:rPr>
                <w:t>6</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fab9b4828c1f40298760f0fb8b450bf0_28">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000EE"/>
                <w:sz w:val="20"/>
                <w:u w:val="single"/>
              </w:rPr>
              <w:t>nine</w:t>
            </w:r>
            <w:hyperlink w:anchor="ifab9b4828c1f40298760f0fb8b450bf0_28">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EE"/>
                <w:sz w:val="20"/>
                <w:u w:val="single"/>
              </w:rPr>
              <w:t>September 28, 2024</w:t>
            </w:r>
            <w:hyperlink w:anchor="ifab9b4828c1f40298760f0fb8b450bf0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EE"/>
                <w:sz w:val="20"/>
                <w:u w:val="single"/>
              </w:rPr>
              <w:t>September 30, 2023</w:t>
            </w:r>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28">
              <w:r>
                <w:rPr>
                  <w:rStyle w:val="InternetLink"/>
                  <w:rFonts w:ascii="Times New Roman;sans-serif" w:hAnsi="Times New Roman;sans-serif"/>
                  <w:b w:val="false"/>
                  <w:strike w:val="false"/>
                  <w:dstrike w:val="false"/>
                  <w:color w:val="000000"/>
                  <w:sz w:val="20"/>
                  <w:u w:val="none"/>
                  <w:effect w:val="none"/>
                </w:rPr>
                <w:t>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31">
              <w:r>
                <w:rPr>
                  <w:rStyle w:val="InternetLink"/>
                  <w:rFonts w:ascii="Times New Roman;sans-serif" w:hAnsi="Times New Roman;sans-serif"/>
                  <w:b w:val="false"/>
                  <w:color w:val="0000EE"/>
                  <w:sz w:val="20"/>
                  <w:u w:val="single"/>
                </w:rPr>
                <w:t>Notes to Condensed Consolidated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31">
              <w:r>
                <w:rPr>
                  <w:rStyle w:val="InternetLink"/>
                  <w:rFonts w:ascii="Times New Roman;sans-serif" w:hAnsi="Times New Roman;sans-serif"/>
                  <w:b w:val="false"/>
                  <w:strike w:val="false"/>
                  <w:dstrike w:val="false"/>
                  <w:color w:val="000000"/>
                  <w:sz w:val="20"/>
                  <w:u w:val="none"/>
                  <w:effect w:val="none"/>
                </w:rPr>
                <w:t>8</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76">
              <w:r>
                <w:rPr>
                  <w:rStyle w:val="InternetLink"/>
                  <w:rFonts w:ascii="Times New Roman;sans-serif" w:hAnsi="Times New Roman;sans-serif"/>
                  <w:b w:val="false"/>
                  <w:color w:val="0000EE"/>
                  <w:sz w:val="20"/>
                  <w:u w:val="single"/>
                </w:rPr>
                <w:t>Item 2.</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76">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76">
              <w:r>
                <w:rPr>
                  <w:rStyle w:val="InternetLink"/>
                  <w:rFonts w:ascii="Times New Roman;sans-serif" w:hAnsi="Times New Roman;sans-serif"/>
                  <w:b w:val="false"/>
                  <w:strike w:val="false"/>
                  <w:dstrike w:val="false"/>
                  <w:color w:val="000000"/>
                  <w:sz w:val="20"/>
                  <w:u w:val="none"/>
                  <w:effect w:val="none"/>
                </w:rPr>
                <w:t>17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27">
              <w:r>
                <w:rPr>
                  <w:rStyle w:val="InternetLink"/>
                  <w:rFonts w:ascii="Times New Roman;sans-serif" w:hAnsi="Times New Roman;sans-serif"/>
                  <w:b w:val="false"/>
                  <w:color w:val="0000EE"/>
                  <w:sz w:val="20"/>
                  <w:u w:val="single"/>
                </w:rPr>
                <w:t>Item 3.</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27">
              <w:r>
                <w:rPr>
                  <w:rStyle w:val="InternetLink"/>
                  <w:rFonts w:ascii="Times New Roman;sans-serif" w:hAnsi="Times New Roman;sans-serif"/>
                  <w:b w:val="false"/>
                  <w:color w:val="0000EE"/>
                  <w:sz w:val="20"/>
                  <w:u w:val="single"/>
                </w:rPr>
                <w:t>Quantitative and Qualitative Disclosures About Market Risk</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27">
              <w:r>
                <w:rPr>
                  <w:rStyle w:val="InternetLink"/>
                  <w:rFonts w:ascii="Times New Roman;sans-serif" w:hAnsi="Times New Roman;sans-serif"/>
                  <w:b w:val="false"/>
                  <w:strike w:val="false"/>
                  <w:dstrike w:val="false"/>
                  <w:color w:val="000000"/>
                  <w:sz w:val="20"/>
                  <w:u w:val="none"/>
                  <w:effect w:val="none"/>
                </w:rPr>
                <w:t>23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0">
              <w:r>
                <w:rPr>
                  <w:rStyle w:val="InternetLink"/>
                  <w:rFonts w:ascii="Times New Roman;sans-serif" w:hAnsi="Times New Roman;sans-serif"/>
                  <w:b w:val="false"/>
                  <w:color w:val="0000EE"/>
                  <w:sz w:val="20"/>
                  <w:u w:val="single"/>
                </w:rPr>
                <w:t>Item 4.</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0">
              <w:r>
                <w:rPr>
                  <w:rStyle w:val="InternetLink"/>
                  <w:rFonts w:ascii="Times New Roman;sans-serif" w:hAnsi="Times New Roman;sans-serif"/>
                  <w:b w:val="false"/>
                  <w:color w:val="0000EE"/>
                  <w:sz w:val="20"/>
                  <w:u w:val="single"/>
                </w:rPr>
                <w:t>Controls and Procedures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30">
              <w:r>
                <w:rPr>
                  <w:rStyle w:val="InternetLink"/>
                  <w:rFonts w:ascii="Times New Roman;sans-serif" w:hAnsi="Times New Roman;sans-serif"/>
                  <w:b w:val="false"/>
                  <w:strike w:val="false"/>
                  <w:dstrike w:val="false"/>
                  <w:color w:val="000000"/>
                  <w:sz w:val="20"/>
                  <w:u w:val="none"/>
                  <w:effect w:val="none"/>
                </w:rPr>
                <w:t>23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fab9b4828c1f40298760f0fb8b450bf0_133">
              <w:r>
                <w:rPr>
                  <w:rStyle w:val="InternetLink"/>
                  <w:rFonts w:ascii="Times New Roman;sans-serif" w:hAnsi="Times New Roman;sans-serif"/>
                  <w:b w:val="false"/>
                  <w:color w:val="0000EE"/>
                  <w:sz w:val="20"/>
                  <w:u w:val="single"/>
                </w:rPr>
                <w:t>Part II. Other Information</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6">
              <w:r>
                <w:rPr>
                  <w:rStyle w:val="InternetLink"/>
                  <w:rFonts w:ascii="Times New Roman;sans-serif" w:hAnsi="Times New Roman;sans-serif"/>
                  <w:b w:val="false"/>
                  <w:color w:val="0000EE"/>
                  <w:sz w:val="20"/>
                  <w:u w:val="single"/>
                </w:rPr>
                <w:t>Item 1.</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6">
              <w:r>
                <w:rPr>
                  <w:rStyle w:val="InternetLink"/>
                  <w:rFonts w:ascii="Times New Roman;sans-serif" w:hAnsi="Times New Roman;sans-serif"/>
                  <w:b w:val="false"/>
                  <w:color w:val="0000EE"/>
                  <w:sz w:val="20"/>
                  <w:u w:val="single"/>
                </w:rPr>
                <w:t>Legal Proceedings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36">
              <w:r>
                <w:rPr>
                  <w:rStyle w:val="InternetLink"/>
                  <w:rFonts w:ascii="Times New Roman;sans-serif" w:hAnsi="Times New Roman;sans-serif"/>
                  <w:b w:val="false"/>
                  <w:strike w:val="false"/>
                  <w:dstrike w:val="false"/>
                  <w:color w:val="000000"/>
                  <w:sz w:val="20"/>
                  <w:u w:val="none"/>
                  <w:effect w:val="none"/>
                </w:rPr>
                <w:t>24</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9">
              <w:r>
                <w:rPr>
                  <w:rStyle w:val="InternetLink"/>
                  <w:rFonts w:ascii="Times New Roman;sans-serif" w:hAnsi="Times New Roman;sans-serif"/>
                  <w:b w:val="false"/>
                  <w:color w:val="0000EE"/>
                  <w:sz w:val="20"/>
                  <w:u w:val="single"/>
                </w:rPr>
                <w:t>Item 1A.</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39">
              <w:r>
                <w:rPr>
                  <w:rStyle w:val="InternetLink"/>
                  <w:rFonts w:ascii="Times New Roman;sans-serif" w:hAnsi="Times New Roman;sans-serif"/>
                  <w:b w:val="false"/>
                  <w:color w:val="0000EE"/>
                  <w:sz w:val="20"/>
                  <w:u w:val="single"/>
                </w:rPr>
                <w:t>Risk Factors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39">
              <w:r>
                <w:rPr>
                  <w:rStyle w:val="InternetLink"/>
                  <w:rFonts w:ascii="Times New Roman;sans-serif" w:hAnsi="Times New Roman;sans-serif"/>
                  <w:b w:val="false"/>
                  <w:strike w:val="false"/>
                  <w:dstrike w:val="false"/>
                  <w:color w:val="000000"/>
                  <w:sz w:val="20"/>
                  <w:u w:val="none"/>
                  <w:effect w:val="none"/>
                </w:rPr>
                <w:t>24</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42">
              <w:r>
                <w:rPr>
                  <w:rStyle w:val="InternetLink"/>
                  <w:rFonts w:ascii="Times New Roman;sans-serif" w:hAnsi="Times New Roman;sans-serif"/>
                  <w:b w:val="false"/>
                  <w:color w:val="0000EE"/>
                  <w:sz w:val="20"/>
                  <w:u w:val="single"/>
                </w:rPr>
                <w:t>Item 2.</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42">
              <w:r>
                <w:rPr>
                  <w:rStyle w:val="InternetLink"/>
                  <w:rFonts w:ascii="Times New Roman;sans-serif" w:hAnsi="Times New Roman;sans-serif"/>
                  <w:b w:val="false"/>
                  <w:color w:val="0000FF"/>
                  <w:sz w:val="20"/>
                  <w:u w:val="single"/>
                </w:rPr>
                <w:t>Unregistered Sales of Equity Securities and Use of Proceeds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42">
              <w:r>
                <w:rPr>
                  <w:rStyle w:val="InternetLink"/>
                  <w:rFonts w:ascii="Times New Roman;sans-serif" w:hAnsi="Times New Roman;sans-serif"/>
                  <w:b w:val="false"/>
                  <w:strike w:val="false"/>
                  <w:dstrike w:val="false"/>
                  <w:color w:val="000000"/>
                  <w:sz w:val="20"/>
                  <w:u w:val="none"/>
                  <w:effect w:val="none"/>
                </w:rPr>
                <w:t>37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45">
              <w:r>
                <w:rPr>
                  <w:rStyle w:val="InternetLink"/>
                  <w:rFonts w:ascii="Times New Roman;sans-serif" w:hAnsi="Times New Roman;sans-serif"/>
                  <w:b w:val="false"/>
                  <w:color w:val="0000EE"/>
                  <w:sz w:val="20"/>
                  <w:u w:val="single"/>
                </w:rPr>
                <w:t>Item 3.</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45">
              <w:r>
                <w:rPr>
                  <w:rStyle w:val="InternetLink"/>
                  <w:rFonts w:ascii="Times New Roman;sans-serif" w:hAnsi="Times New Roman;sans-serif"/>
                  <w:b w:val="false"/>
                  <w:color w:val="0000EE"/>
                  <w:sz w:val="20"/>
                  <w:u w:val="single"/>
                </w:rPr>
                <w:t>Defaults Upon Senior Securities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45">
              <w:r>
                <w:rPr>
                  <w:rStyle w:val="InternetLink"/>
                  <w:rFonts w:ascii="Times New Roman;sans-serif" w:hAnsi="Times New Roman;sans-serif"/>
                  <w:b w:val="false"/>
                  <w:strike w:val="false"/>
                  <w:dstrike w:val="false"/>
                  <w:color w:val="000000"/>
                  <w:sz w:val="20"/>
                  <w:u w:val="none"/>
                  <w:effect w:val="none"/>
                </w:rPr>
                <w:t>38</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48">
              <w:r>
                <w:rPr>
                  <w:rStyle w:val="InternetLink"/>
                  <w:rFonts w:ascii="Times New Roman;sans-serif" w:hAnsi="Times New Roman;sans-serif"/>
                  <w:b w:val="false"/>
                  <w:color w:val="0000EE"/>
                  <w:sz w:val="20"/>
                  <w:u w:val="single"/>
                </w:rPr>
                <w:t>Item 4.</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48">
              <w:r>
                <w:rPr>
                  <w:rStyle w:val="InternetLink"/>
                  <w:rFonts w:ascii="Times New Roman;sans-serif" w:hAnsi="Times New Roman;sans-serif"/>
                  <w:b w:val="false"/>
                  <w:color w:val="0000EE"/>
                  <w:sz w:val="20"/>
                  <w:u w:val="single"/>
                </w:rPr>
                <w:t>Mine Safety Disclosures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48">
              <w:r>
                <w:rPr>
                  <w:rStyle w:val="InternetLink"/>
                  <w:rFonts w:ascii="Times New Roman;sans-serif" w:hAnsi="Times New Roman;sans-serif"/>
                  <w:b w:val="false"/>
                  <w:strike w:val="false"/>
                  <w:dstrike w:val="false"/>
                  <w:color w:val="000000"/>
                  <w:sz w:val="20"/>
                  <w:u w:val="none"/>
                  <w:effect w:val="none"/>
                </w:rPr>
                <w:t>38</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51">
              <w:r>
                <w:rPr>
                  <w:rStyle w:val="InternetLink"/>
                  <w:rFonts w:ascii="Times New Roman;sans-serif" w:hAnsi="Times New Roman;sans-serif"/>
                  <w:b w:val="false"/>
                  <w:color w:val="0000EE"/>
                  <w:sz w:val="20"/>
                  <w:u w:val="single"/>
                </w:rPr>
                <w:t>Item 5.</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51">
              <w:r>
                <w:rPr>
                  <w:rStyle w:val="InternetLink"/>
                  <w:rFonts w:ascii="Times New Roman;sans-serif" w:hAnsi="Times New Roman;sans-serif"/>
                  <w:b w:val="false"/>
                  <w:color w:val="0000EE"/>
                  <w:sz w:val="20"/>
                  <w:u w:val="single"/>
                </w:rPr>
                <w:t>Other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51">
              <w:r>
                <w:rPr>
                  <w:rStyle w:val="InternetLink"/>
                  <w:rFonts w:ascii="Times New Roman;sans-serif" w:hAnsi="Times New Roman;sans-serif"/>
                  <w:b w:val="false"/>
                  <w:strike w:val="false"/>
                  <w:dstrike w:val="false"/>
                  <w:color w:val="000000"/>
                  <w:sz w:val="20"/>
                  <w:u w:val="none"/>
                  <w:effect w:val="none"/>
                </w:rPr>
                <w:t>38</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57">
              <w:r>
                <w:rPr>
                  <w:rStyle w:val="InternetLink"/>
                  <w:rFonts w:ascii="Times New Roman;sans-serif" w:hAnsi="Times New Roman;sans-serif"/>
                  <w:b w:val="false"/>
                  <w:color w:val="0000EE"/>
                  <w:sz w:val="20"/>
                  <w:u w:val="single"/>
                </w:rPr>
                <w:t>Item 6.</w:t>
              </w:r>
            </w:hyperlink>
          </w:p>
        </w:tc>
        <w:tc>
          <w:tcPr>
            <w:tcW w:w="84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ab9b4828c1f40298760f0fb8b450bf0_157">
              <w:r>
                <w:rPr>
                  <w:rStyle w:val="InternetLink"/>
                  <w:rFonts w:ascii="Times New Roman;sans-serif" w:hAnsi="Times New Roman;sans-serif"/>
                  <w:b w:val="false"/>
                  <w:color w:val="0000EE"/>
                  <w:sz w:val="20"/>
                  <w:u w:val="single"/>
                </w:rPr>
                <w:t>Exhibits</w:t>
              </w:r>
            </w:hyperlink>
          </w:p>
        </w:tc>
        <w:tc>
          <w:tcPr>
            <w:tcW w:w="79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ab9b4828c1f40298760f0fb8b450bf0_157">
              <w:r>
                <w:rPr>
                  <w:rStyle w:val="InternetLink"/>
                  <w:rFonts w:ascii="Times New Roman;sans-serif" w:hAnsi="Times New Roman;sans-serif"/>
                  <w:b w:val="false"/>
                  <w:strike w:val="false"/>
                  <w:dstrike w:val="false"/>
                  <w:color w:val="000000"/>
                  <w:sz w:val="20"/>
                  <w:u w:val="none"/>
                  <w:effect w:val="none"/>
                </w:rPr>
                <w:t>39</w:t>
              </w:r>
            </w:hyperlink>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Statement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Except for the historical financial information contained herein, the matters discussed in this report on Form 10-Q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54"/>
        <w:gridCol w:w="2264"/>
        <w:gridCol w:w="2222"/>
        <w:gridCol w:w="211"/>
        <w:gridCol w:w="976"/>
        <w:gridCol w:w="109"/>
        <w:gridCol w:w="109"/>
        <w:gridCol w:w="109"/>
        <w:gridCol w:w="109"/>
        <w:gridCol w:w="211"/>
        <w:gridCol w:w="976"/>
        <w:gridCol w:w="155"/>
      </w:tblGrid>
      <w:tr>
        <w:trPr/>
        <w:tc>
          <w:tcPr>
            <w:tcW w:w="275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227,504 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376,389 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returns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 $0.0001 par value; 10,000 shares authorized; no shares issued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$0.0001 par value; 250,000 shares authorized; 32,343 and 31,897 shares issued and outstanding at September 28, 2024 and December 30,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earnings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1,192,731 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59" w:type="dxa"/>
        <w:jc w:val="left"/>
        <w:tblInd w:w="0" w:type="dxa"/>
        <w:tblLayout w:type="fixed"/>
        <w:tblCellMar>
          <w:top w:w="28" w:type="dxa"/>
          <w:left w:w="28" w:type="dxa"/>
          <w:bottom w:w="28" w:type="dxa"/>
          <w:right w:w="28" w:type="dxa"/>
        </w:tblCellMar>
      </w:tblPr>
      <w:tblGrid>
        <w:gridCol w:w="1442"/>
        <w:gridCol w:w="1262"/>
        <w:gridCol w:w="1270"/>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Equity-method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31,789</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w:t>
            </w:r>
          </w:p>
        </w:tc>
      </w:tr>
    </w:tbl>
    <w:p>
      <w:pPr>
        <w:pStyle w:val="TextBody"/>
        <w:bidi w:val="0"/>
        <w:spacing w:lineRule="auto" w:line="288"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94"/>
        <w:gridCol w:w="1461"/>
        <w:gridCol w:w="1441"/>
        <w:gridCol w:w="214"/>
        <w:gridCol w:w="800"/>
        <w:gridCol w:w="110"/>
        <w:gridCol w:w="109"/>
        <w:gridCol w:w="109"/>
        <w:gridCol w:w="109"/>
        <w:gridCol w:w="227"/>
        <w:gridCol w:w="778"/>
        <w:gridCol w:w="117"/>
        <w:gridCol w:w="109"/>
        <w:gridCol w:w="109"/>
        <w:gridCol w:w="109"/>
        <w:gridCol w:w="211"/>
        <w:gridCol w:w="890"/>
        <w:gridCol w:w="109"/>
        <w:gridCol w:w="109"/>
        <w:gridCol w:w="109"/>
        <w:gridCol w:w="109"/>
        <w:gridCol w:w="226"/>
        <w:gridCol w:w="775"/>
        <w:gridCol w:w="171"/>
      </w:tblGrid>
      <w:tr>
        <w:trPr/>
        <w:tc>
          <w:tcPr>
            <w:tcW w:w="169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to available-for-sale securities: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arising during the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for losses included in net income (loss)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to cash flow hedges: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for losses (gains) included in net income (loss)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(27,978)</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00"/>
        <w:gridCol w:w="638"/>
        <w:gridCol w:w="640"/>
        <w:gridCol w:w="109"/>
        <w:gridCol w:w="109"/>
        <w:gridCol w:w="109"/>
        <w:gridCol w:w="199"/>
        <w:gridCol w:w="199"/>
        <w:gridCol w:w="203"/>
        <w:gridCol w:w="109"/>
        <w:gridCol w:w="109"/>
        <w:gridCol w:w="109"/>
        <w:gridCol w:w="280"/>
        <w:gridCol w:w="340"/>
        <w:gridCol w:w="146"/>
        <w:gridCol w:w="109"/>
        <w:gridCol w:w="109"/>
        <w:gridCol w:w="109"/>
        <w:gridCol w:w="196"/>
        <w:gridCol w:w="646"/>
        <w:gridCol w:w="109"/>
        <w:gridCol w:w="109"/>
        <w:gridCol w:w="109"/>
        <w:gridCol w:w="109"/>
        <w:gridCol w:w="196"/>
        <w:gridCol w:w="871"/>
        <w:gridCol w:w="109"/>
        <w:gridCol w:w="109"/>
        <w:gridCol w:w="109"/>
        <w:gridCol w:w="109"/>
        <w:gridCol w:w="355"/>
        <w:gridCol w:w="792"/>
        <w:gridCol w:w="199"/>
        <w:gridCol w:w="109"/>
        <w:gridCol w:w="109"/>
        <w:gridCol w:w="109"/>
        <w:gridCol w:w="196"/>
        <w:gridCol w:w="871"/>
        <w:gridCol w:w="158"/>
      </w:tblGrid>
      <w:tr>
        <w:trPr/>
        <w:tc>
          <w:tcPr>
            <w:tcW w:w="90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Balance as of June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1,093,029 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1,081,386 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0"/>
        <w:gridCol w:w="663"/>
        <w:gridCol w:w="666"/>
        <w:gridCol w:w="109"/>
        <w:gridCol w:w="109"/>
        <w:gridCol w:w="109"/>
        <w:gridCol w:w="199"/>
        <w:gridCol w:w="199"/>
        <w:gridCol w:w="203"/>
        <w:gridCol w:w="109"/>
        <w:gridCol w:w="109"/>
        <w:gridCol w:w="109"/>
        <w:gridCol w:w="274"/>
        <w:gridCol w:w="338"/>
        <w:gridCol w:w="154"/>
        <w:gridCol w:w="109"/>
        <w:gridCol w:w="109"/>
        <w:gridCol w:w="109"/>
        <w:gridCol w:w="240"/>
        <w:gridCol w:w="497"/>
        <w:gridCol w:w="134"/>
        <w:gridCol w:w="109"/>
        <w:gridCol w:w="109"/>
        <w:gridCol w:w="109"/>
        <w:gridCol w:w="196"/>
        <w:gridCol w:w="871"/>
        <w:gridCol w:w="109"/>
        <w:gridCol w:w="109"/>
        <w:gridCol w:w="109"/>
        <w:gridCol w:w="109"/>
        <w:gridCol w:w="303"/>
        <w:gridCol w:w="884"/>
        <w:gridCol w:w="169"/>
        <w:gridCol w:w="109"/>
        <w:gridCol w:w="109"/>
        <w:gridCol w:w="109"/>
        <w:gridCol w:w="196"/>
        <w:gridCol w:w="871"/>
        <w:gridCol w:w="157"/>
      </w:tblGrid>
      <w:tr>
        <w:trPr/>
        <w:tc>
          <w:tcPr>
            <w:tcW w:w="92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44"/>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1,258,897 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1,259,922 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0"/>
        <w:gridCol w:w="638"/>
        <w:gridCol w:w="640"/>
        <w:gridCol w:w="109"/>
        <w:gridCol w:w="109"/>
        <w:gridCol w:w="109"/>
        <w:gridCol w:w="199"/>
        <w:gridCol w:w="199"/>
        <w:gridCol w:w="203"/>
        <w:gridCol w:w="109"/>
        <w:gridCol w:w="109"/>
        <w:gridCol w:w="109"/>
        <w:gridCol w:w="280"/>
        <w:gridCol w:w="340"/>
        <w:gridCol w:w="146"/>
        <w:gridCol w:w="109"/>
        <w:gridCol w:w="109"/>
        <w:gridCol w:w="109"/>
        <w:gridCol w:w="196"/>
        <w:gridCol w:w="646"/>
        <w:gridCol w:w="109"/>
        <w:gridCol w:w="109"/>
        <w:gridCol w:w="109"/>
        <w:gridCol w:w="109"/>
        <w:gridCol w:w="196"/>
        <w:gridCol w:w="871"/>
        <w:gridCol w:w="109"/>
        <w:gridCol w:w="109"/>
        <w:gridCol w:w="109"/>
        <w:gridCol w:w="109"/>
        <w:gridCol w:w="301"/>
        <w:gridCol w:w="878"/>
        <w:gridCol w:w="168"/>
        <w:gridCol w:w="109"/>
        <w:gridCol w:w="109"/>
        <w:gridCol w:w="109"/>
        <w:gridCol w:w="196"/>
        <w:gridCol w:w="871"/>
        <w:gridCol w:w="157"/>
      </w:tblGrid>
      <w:tr>
        <w:trPr/>
        <w:tc>
          <w:tcPr>
            <w:tcW w:w="90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44"/>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Nine Months Ended 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Balance as of December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(167,187)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1,081,386 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7"/>
        <w:gridCol w:w="659"/>
        <w:gridCol w:w="662"/>
        <w:gridCol w:w="109"/>
        <w:gridCol w:w="109"/>
        <w:gridCol w:w="109"/>
        <w:gridCol w:w="203"/>
        <w:gridCol w:w="203"/>
        <w:gridCol w:w="207"/>
        <w:gridCol w:w="109"/>
        <w:gridCol w:w="109"/>
        <w:gridCol w:w="109"/>
        <w:gridCol w:w="274"/>
        <w:gridCol w:w="338"/>
        <w:gridCol w:w="154"/>
        <w:gridCol w:w="109"/>
        <w:gridCol w:w="109"/>
        <w:gridCol w:w="109"/>
        <w:gridCol w:w="240"/>
        <w:gridCol w:w="497"/>
        <w:gridCol w:w="134"/>
        <w:gridCol w:w="109"/>
        <w:gridCol w:w="109"/>
        <w:gridCol w:w="109"/>
        <w:gridCol w:w="196"/>
        <w:gridCol w:w="871"/>
        <w:gridCol w:w="109"/>
        <w:gridCol w:w="109"/>
        <w:gridCol w:w="109"/>
        <w:gridCol w:w="109"/>
        <w:gridCol w:w="274"/>
        <w:gridCol w:w="927"/>
        <w:gridCol w:w="153"/>
        <w:gridCol w:w="109"/>
        <w:gridCol w:w="109"/>
        <w:gridCol w:w="109"/>
        <w:gridCol w:w="196"/>
        <w:gridCol w:w="871"/>
        <w:gridCol w:w="158"/>
      </w:tblGrid>
      <w:tr>
        <w:trPr/>
        <w:tc>
          <w:tcPr>
            <w:tcW w:w="91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1,405,008 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(213,130)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debt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1,259,922 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96" w:type="dxa"/>
        <w:jc w:val="left"/>
        <w:tblInd w:w="0" w:type="dxa"/>
        <w:tblLayout w:type="fixed"/>
        <w:tblCellMar>
          <w:top w:w="28" w:type="dxa"/>
          <w:left w:w="28" w:type="dxa"/>
          <w:bottom w:w="28" w:type="dxa"/>
          <w:right w:w="28" w:type="dxa"/>
        </w:tblCellMar>
      </w:tblPr>
      <w:tblGrid>
        <w:gridCol w:w="1971"/>
        <w:gridCol w:w="1733"/>
        <w:gridCol w:w="1740"/>
        <w:gridCol w:w="200"/>
        <w:gridCol w:w="829"/>
        <w:gridCol w:w="111"/>
        <w:gridCol w:w="109"/>
        <w:gridCol w:w="109"/>
        <w:gridCol w:w="109"/>
        <w:gridCol w:w="214"/>
        <w:gridCol w:w="803"/>
        <w:gridCol w:w="168"/>
      </w:tblGrid>
      <w:tr>
        <w:trPr/>
        <w:tc>
          <w:tcPr>
            <w:tcW w:w="197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operating activities: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of property and equipment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other intangible assets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debt issuance costs </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Equity-method loss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(30,706)</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(66,971)</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(37,039)</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and income taxes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(39,155)</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returns liability</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(91,493)</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marketable securities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365,073 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171,766 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(18,533)</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equity investment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other assets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line of credit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debt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(571,157)</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(217,137)</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taxes withheld for vested stock awards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(17,239)</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(51,682)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(717,520)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(339,987)</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499,915 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303,082 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159,928 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    Significant Accounting Policies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U.S. generally accepted accounting principles (“U.S. GAAP”) for interim financial information and the instructions to Form 10-Q and Article 10 of Regulation S-X. The information included herein contains all normal recurring accruals and adjustments which, in the opinion of management, are necessary to present fairly Silicon Laboratories Inc.’s (the “Company”) financial position, results of its operations, comprehensive income, stockholders’ equity, and cash flows. The Condensed Consolidated Balance Sheet as of December 30, 2023 was derived from the Company’s audited Consolidated Financial Statements. All intercompany balances and transactions have been eliminated in consolidation. The condensed consolidated results of operations for the three and nine months ended September 28, 2024 are not necessarily indicative of the results to be expected for the full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audited Consolidated Financial Statements and notes thereto for the year ended December 30, 2023, included in the Company’s Annual Report on Form 10-K filed with the Securities and Exchange Commission (“SEC”) on February 20,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prepares financial statements on a 52- or 53-week fiscal year that ends on the Saturday closest to December 31. Fiscal 2024 will have 52 weeks and fiscal 2023 had 52 weeks. In a 52-week year, each fiscal quarter consists of 13 weeks.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pStyle w:val="TextBody"/>
        <w:bidi w:val="0"/>
        <w:spacing w:lineRule="auto" w:line="288"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0" w:after="24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280)—Improvements to Reportable Segment Disclosures</w:t>
      </w:r>
      <w:r>
        <w:rPr>
          <w:rFonts w:ascii="Times New Roman;sans-serif" w:hAnsi="Times New Roman;sans-serif"/>
          <w:b w:val="false"/>
          <w:color w:val="000000"/>
          <w:sz w:val="20"/>
        </w:rPr>
        <w:t>. This ASU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with early adoption permitted. As the requirements of this ASU are disclosure-related, the adoption will not have an impact on the Company’s consolidated financial position and results of operations. The Company is currently evaluating the impact of this update on its segment disclosures.</w:t>
      </w:r>
    </w:p>
    <w:p>
      <w:pPr>
        <w:pStyle w:val="TextBody"/>
        <w:bidi w:val="0"/>
        <w:spacing w:lineRule="auto" w:line="288" w:before="0" w:after="24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740)—Improvements to Income Tax Disclosures</w:t>
      </w:r>
      <w:r>
        <w:rPr>
          <w:rFonts w:ascii="Times New Roman;sans-serif" w:hAnsi="Times New Roman;sans-serif"/>
          <w:b w:val="false"/>
          <w:color w:val="000000"/>
          <w:sz w:val="20"/>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The requirements of this ASU are disclosure-related and will not have an impact on the Company’s consolidated financial position and results of operations. The Company is currently evaluating the effect of this new guidance on its income tax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Earnings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(in thousands, except per share data):</w:t>
      </w:r>
    </w:p>
    <w:tbl>
      <w:tblPr>
        <w:tblW w:w="10001" w:type="dxa"/>
        <w:jc w:val="left"/>
        <w:tblInd w:w="0" w:type="dxa"/>
        <w:tblLayout w:type="fixed"/>
        <w:tblCellMar>
          <w:top w:w="28" w:type="dxa"/>
          <w:left w:w="28" w:type="dxa"/>
          <w:bottom w:w="28" w:type="dxa"/>
          <w:right w:w="28" w:type="dxa"/>
        </w:tblCellMar>
      </w:tblPr>
      <w:tblGrid>
        <w:gridCol w:w="1570"/>
        <w:gridCol w:w="1377"/>
        <w:gridCol w:w="1388"/>
        <w:gridCol w:w="215"/>
        <w:gridCol w:w="813"/>
        <w:gridCol w:w="111"/>
        <w:gridCol w:w="109"/>
        <w:gridCol w:w="109"/>
        <w:gridCol w:w="109"/>
        <w:gridCol w:w="231"/>
        <w:gridCol w:w="790"/>
        <w:gridCol w:w="119"/>
        <w:gridCol w:w="109"/>
        <w:gridCol w:w="109"/>
        <w:gridCol w:w="109"/>
        <w:gridCol w:w="211"/>
        <w:gridCol w:w="901"/>
        <w:gridCol w:w="109"/>
        <w:gridCol w:w="109"/>
        <w:gridCol w:w="109"/>
        <w:gridCol w:w="109"/>
        <w:gridCol w:w="230"/>
        <w:gridCol w:w="787"/>
        <w:gridCol w:w="168"/>
      </w:tblGrid>
      <w:tr>
        <w:trPr/>
        <w:tc>
          <w:tcPr>
            <w:tcW w:w="15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basic earnings per share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31,789</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and stock-based awards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diluted earnings per share</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32,919</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 for the three and nine months ended September 28, 2024 excluded 0.1 million and 0.2 million shares, respectively, due to the Company’s net loss for the periods. In June 2023, the Company paid $535.0 million in cash and issued 0.9 million shares of common stock in connection with the conversions and redemptions of the 2025 Notes. For the three and nine months ended September 30, 2023, approximately 0.0 million and 0.7 million shares, respectively, were included in the denominator for the calculation of diluted earnings per share related to the not yet converted or redeemed 2025 Notes. Securities that were anti-dilutive and were excluded from the computation of diluted earnings per share for the three and nine months ended September 30, 2023 were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financial instruments are recorded using a hierarchical disclosure framework based upon the level of subjectivity of the inputs used in measuring assets and liabilities. The three levels are described below: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Level 1 that are directly or indirectly observable, such as quoted prices for similar assets or liabilities and quoted prices in less active markets.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 Inputs are unobservable for the asset or liability and are developed based on the best information available in the circumstances, which might include the Company’s own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valuation of the Company’s financial instruments (in thousands). The tables do not include either cash on hand or assets and liabilities that are measured at historical cost or any basis other than fair value.</w:t>
      </w:r>
    </w:p>
    <w:tbl>
      <w:tblPr>
        <w:tblW w:w="7467" w:type="dxa"/>
        <w:jc w:val="center"/>
        <w:tblInd w:w="0" w:type="dxa"/>
        <w:tblLayout w:type="fixed"/>
        <w:tblCellMar>
          <w:top w:w="28" w:type="dxa"/>
          <w:left w:w="28" w:type="dxa"/>
          <w:bottom w:w="28" w:type="dxa"/>
          <w:right w:w="28" w:type="dxa"/>
        </w:tblCellMar>
      </w:tblPr>
      <w:tblGrid>
        <w:gridCol w:w="882"/>
        <w:gridCol w:w="775"/>
        <w:gridCol w:w="788"/>
        <w:gridCol w:w="109"/>
        <w:gridCol w:w="109"/>
        <w:gridCol w:w="109"/>
        <w:gridCol w:w="273"/>
        <w:gridCol w:w="1071"/>
        <w:gridCol w:w="141"/>
        <w:gridCol w:w="109"/>
        <w:gridCol w:w="109"/>
        <w:gridCol w:w="109"/>
        <w:gridCol w:w="276"/>
        <w:gridCol w:w="946"/>
        <w:gridCol w:w="143"/>
        <w:gridCol w:w="109"/>
        <w:gridCol w:w="109"/>
        <w:gridCol w:w="109"/>
        <w:gridCol w:w="211"/>
        <w:gridCol w:w="82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br/>
              <w:t>at September 28, 2024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66" w:type="dxa"/>
        <w:jc w:val="center"/>
        <w:tblInd w:w="0" w:type="dxa"/>
        <w:tblLayout w:type="fixed"/>
        <w:tblCellMar>
          <w:top w:w="28" w:type="dxa"/>
          <w:left w:w="28" w:type="dxa"/>
          <w:bottom w:w="28" w:type="dxa"/>
          <w:right w:w="28" w:type="dxa"/>
        </w:tblCellMar>
      </w:tblPr>
      <w:tblGrid>
        <w:gridCol w:w="882"/>
        <w:gridCol w:w="775"/>
        <w:gridCol w:w="788"/>
        <w:gridCol w:w="109"/>
        <w:gridCol w:w="109"/>
        <w:gridCol w:w="109"/>
        <w:gridCol w:w="273"/>
        <w:gridCol w:w="1071"/>
        <w:gridCol w:w="141"/>
        <w:gridCol w:w="109"/>
        <w:gridCol w:w="109"/>
        <w:gridCol w:w="109"/>
        <w:gridCol w:w="251"/>
        <w:gridCol w:w="984"/>
        <w:gridCol w:w="129"/>
        <w:gridCol w:w="109"/>
        <w:gridCol w:w="109"/>
        <w:gridCol w:w="109"/>
        <w:gridCol w:w="211"/>
        <w:gridCol w:w="82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br/>
              <w:t>at December 30, 2023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Valuation methodology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and short-term investments that are classified as Level 2 are valued using non-binding market consensus prices that are corroborated with observable market data; quoted market prices for similar instruments in active markets; quoted prices in less active markets; or pricing models, such as a discounted cash flow model, with all significant inputs derived from or corroborated with observable market data. The Company’s foreign currency derivative instruments are valued using discounted cash flow models. The assumptions used in preparing the valuation models include foreign exchange rates, forward and spot prices for currencies and market observable data of similar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components of available-for-sale investments:</w:t>
      </w:r>
    </w:p>
    <w:tbl>
      <w:tblPr>
        <w:tblW w:w="10205" w:type="dxa"/>
        <w:jc w:val="left"/>
        <w:tblInd w:w="0" w:type="dxa"/>
        <w:tblLayout w:type="fixed"/>
        <w:tblCellMar>
          <w:top w:w="28" w:type="dxa"/>
          <w:left w:w="28" w:type="dxa"/>
          <w:bottom w:w="28" w:type="dxa"/>
          <w:right w:w="28" w:type="dxa"/>
        </w:tblCellMar>
      </w:tblPr>
      <w:tblGrid>
        <w:gridCol w:w="614"/>
        <w:gridCol w:w="368"/>
        <w:gridCol w:w="369"/>
        <w:gridCol w:w="109"/>
        <w:gridCol w:w="109"/>
        <w:gridCol w:w="109"/>
        <w:gridCol w:w="228"/>
        <w:gridCol w:w="893"/>
        <w:gridCol w:w="117"/>
        <w:gridCol w:w="109"/>
        <w:gridCol w:w="109"/>
        <w:gridCol w:w="109"/>
        <w:gridCol w:w="283"/>
        <w:gridCol w:w="628"/>
        <w:gridCol w:w="148"/>
        <w:gridCol w:w="109"/>
        <w:gridCol w:w="109"/>
        <w:gridCol w:w="109"/>
        <w:gridCol w:w="322"/>
        <w:gridCol w:w="574"/>
        <w:gridCol w:w="168"/>
        <w:gridCol w:w="109"/>
        <w:gridCol w:w="109"/>
        <w:gridCol w:w="109"/>
        <w:gridCol w:w="211"/>
        <w:gridCol w:w="826"/>
        <w:gridCol w:w="109"/>
        <w:gridCol w:w="109"/>
        <w:gridCol w:w="109"/>
        <w:gridCol w:w="109"/>
        <w:gridCol w:w="215"/>
        <w:gridCol w:w="845"/>
        <w:gridCol w:w="111"/>
        <w:gridCol w:w="109"/>
        <w:gridCol w:w="109"/>
        <w:gridCol w:w="109"/>
        <w:gridCol w:w="234"/>
        <w:gridCol w:w="800"/>
        <w:gridCol w:w="180"/>
      </w:tblGrid>
      <w:tr>
        <w:trPr/>
        <w:tc>
          <w:tcPr>
            <w:tcW w:w="6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Marketable Securities</w:t>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277,467 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8"/>
        <w:gridCol w:w="341"/>
        <w:gridCol w:w="343"/>
        <w:gridCol w:w="109"/>
        <w:gridCol w:w="109"/>
        <w:gridCol w:w="109"/>
        <w:gridCol w:w="225"/>
        <w:gridCol w:w="882"/>
        <w:gridCol w:w="116"/>
        <w:gridCol w:w="109"/>
        <w:gridCol w:w="109"/>
        <w:gridCol w:w="109"/>
        <w:gridCol w:w="275"/>
        <w:gridCol w:w="610"/>
        <w:gridCol w:w="144"/>
        <w:gridCol w:w="109"/>
        <w:gridCol w:w="109"/>
        <w:gridCol w:w="109"/>
        <w:gridCol w:w="237"/>
        <w:gridCol w:w="728"/>
        <w:gridCol w:w="122"/>
        <w:gridCol w:w="109"/>
        <w:gridCol w:w="109"/>
        <w:gridCol w:w="109"/>
        <w:gridCol w:w="211"/>
        <w:gridCol w:w="826"/>
        <w:gridCol w:w="109"/>
        <w:gridCol w:w="109"/>
        <w:gridCol w:w="109"/>
        <w:gridCol w:w="109"/>
        <w:gridCol w:w="215"/>
        <w:gridCol w:w="842"/>
        <w:gridCol w:w="111"/>
        <w:gridCol w:w="109"/>
        <w:gridCol w:w="109"/>
        <w:gridCol w:w="109"/>
        <w:gridCol w:w="225"/>
        <w:gridCol w:w="883"/>
        <w:gridCol w:w="170"/>
      </w:tblGrid>
      <w:tr>
        <w:trPr/>
        <w:tc>
          <w:tcPr>
            <w:tcW w:w="6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3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Equivalent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Marketable Securities</w:t>
            </w:r>
          </w:p>
        </w:tc>
      </w:tr>
      <w:tr>
        <w:trPr/>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350,144 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Contractual maturities of investments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investments are reported at fair value, with unrealized gains and losses, net of tax, recorded as a component of accumulated other comprehensive loss in the Condensed Consolidated Balance Sheet. The following summarizes the contractual underlying maturities of the Company’s available-for-sale investments at September 28, 2024 (in thousands):</w:t>
      </w:r>
    </w:p>
    <w:tbl>
      <w:tblPr>
        <w:tblW w:w="5604" w:type="dxa"/>
        <w:jc w:val="center"/>
        <w:tblInd w:w="0" w:type="dxa"/>
        <w:tblLayout w:type="fixed"/>
        <w:tblCellMar>
          <w:top w:w="28" w:type="dxa"/>
          <w:left w:w="28" w:type="dxa"/>
          <w:bottom w:w="28" w:type="dxa"/>
          <w:right w:w="28" w:type="dxa"/>
        </w:tblCellMar>
      </w:tblPr>
      <w:tblGrid>
        <w:gridCol w:w="1136"/>
        <w:gridCol w:w="1000"/>
        <w:gridCol w:w="1014"/>
        <w:gridCol w:w="211"/>
        <w:gridCol w:w="721"/>
        <w:gridCol w:w="109"/>
        <w:gridCol w:w="109"/>
        <w:gridCol w:w="109"/>
        <w:gridCol w:w="109"/>
        <w:gridCol w:w="211"/>
        <w:gridCol w:w="721"/>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in one year or less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after one year through five years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Unrealized Gains and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available-for-sale investments that were in a continuous unrealized loss position, aggregated by length of time that individual securities have been in a continuous loss position, were as follows (in thousands):</w:t>
      </w:r>
    </w:p>
    <w:tbl>
      <w:tblPr>
        <w:tblW w:w="10205" w:type="dxa"/>
        <w:jc w:val="left"/>
        <w:tblInd w:w="0" w:type="dxa"/>
        <w:tblLayout w:type="fixed"/>
        <w:tblCellMar>
          <w:top w:w="28" w:type="dxa"/>
          <w:left w:w="28" w:type="dxa"/>
          <w:bottom w:w="28" w:type="dxa"/>
          <w:right w:w="28" w:type="dxa"/>
        </w:tblCellMar>
      </w:tblPr>
      <w:tblGrid>
        <w:gridCol w:w="683"/>
        <w:gridCol w:w="479"/>
        <w:gridCol w:w="481"/>
        <w:gridCol w:w="109"/>
        <w:gridCol w:w="109"/>
        <w:gridCol w:w="109"/>
        <w:gridCol w:w="230"/>
        <w:gridCol w:w="444"/>
        <w:gridCol w:w="119"/>
        <w:gridCol w:w="109"/>
        <w:gridCol w:w="109"/>
        <w:gridCol w:w="109"/>
        <w:gridCol w:w="375"/>
        <w:gridCol w:w="724"/>
        <w:gridCol w:w="195"/>
        <w:gridCol w:w="109"/>
        <w:gridCol w:w="109"/>
        <w:gridCol w:w="109"/>
        <w:gridCol w:w="211"/>
        <w:gridCol w:w="616"/>
        <w:gridCol w:w="109"/>
        <w:gridCol w:w="109"/>
        <w:gridCol w:w="109"/>
        <w:gridCol w:w="109"/>
        <w:gridCol w:w="391"/>
        <w:gridCol w:w="698"/>
        <w:gridCol w:w="204"/>
        <w:gridCol w:w="109"/>
        <w:gridCol w:w="109"/>
        <w:gridCol w:w="109"/>
        <w:gridCol w:w="211"/>
        <w:gridCol w:w="616"/>
        <w:gridCol w:w="109"/>
        <w:gridCol w:w="109"/>
        <w:gridCol w:w="109"/>
        <w:gridCol w:w="109"/>
        <w:gridCol w:w="381"/>
        <w:gridCol w:w="679"/>
        <w:gridCol w:w="288"/>
      </w:tblGrid>
      <w:tr>
        <w:trPr/>
        <w:tc>
          <w:tcPr>
            <w:tcW w:w="68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r>
      <w:tr>
        <w:trPr/>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debt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 (Continued)</w:t>
      </w:r>
    </w:p>
    <w:tbl>
      <w:tblPr>
        <w:tblW w:w="10205" w:type="dxa"/>
        <w:jc w:val="left"/>
        <w:tblInd w:w="0" w:type="dxa"/>
        <w:tblLayout w:type="fixed"/>
        <w:tblCellMar>
          <w:top w:w="28" w:type="dxa"/>
          <w:left w:w="28" w:type="dxa"/>
          <w:bottom w:w="28" w:type="dxa"/>
          <w:right w:w="28" w:type="dxa"/>
        </w:tblCellMar>
      </w:tblPr>
      <w:tblGrid>
        <w:gridCol w:w="650"/>
        <w:gridCol w:w="382"/>
        <w:gridCol w:w="384"/>
        <w:gridCol w:w="109"/>
        <w:gridCol w:w="109"/>
        <w:gridCol w:w="109"/>
        <w:gridCol w:w="211"/>
        <w:gridCol w:w="721"/>
        <w:gridCol w:w="109"/>
        <w:gridCol w:w="109"/>
        <w:gridCol w:w="109"/>
        <w:gridCol w:w="109"/>
        <w:gridCol w:w="292"/>
        <w:gridCol w:w="672"/>
        <w:gridCol w:w="151"/>
        <w:gridCol w:w="109"/>
        <w:gridCol w:w="109"/>
        <w:gridCol w:w="109"/>
        <w:gridCol w:w="211"/>
        <w:gridCol w:w="826"/>
        <w:gridCol w:w="109"/>
        <w:gridCol w:w="109"/>
        <w:gridCol w:w="109"/>
        <w:gridCol w:w="109"/>
        <w:gridCol w:w="252"/>
        <w:gridCol w:w="782"/>
        <w:gridCol w:w="130"/>
        <w:gridCol w:w="109"/>
        <w:gridCol w:w="109"/>
        <w:gridCol w:w="109"/>
        <w:gridCol w:w="211"/>
        <w:gridCol w:w="826"/>
        <w:gridCol w:w="109"/>
        <w:gridCol w:w="109"/>
        <w:gridCol w:w="109"/>
        <w:gridCol w:w="109"/>
        <w:gridCol w:w="250"/>
        <w:gridCol w:w="776"/>
        <w:gridCol w:w="189"/>
      </w:tblGrid>
      <w:tr>
        <w:trPr/>
        <w:tc>
          <w:tcPr>
            <w:tcW w:w="65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r>
      <w:tr>
        <w:trPr/>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debt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gross unrealized losses as of September 28, 2024 and December 30, 2023 were due primarily to changes in market interest rates. At September 28, 2024 and December 30, 2023, there were no material unrealized gains associated with the Company’s available-for-sale investments.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an allowance for credit loss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September 28, 2024, there were no material declines in the market value of available-for-sale investments due to credit-related factors.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Fair values of other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financial instruments, including cash, accounts receivable and accounts payable, are recorded at amounts that approximate their fair values due to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    Derivative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Condensed Consolidated Balance Sheet at fair value. Cash flows from derivatives are classified according to the nature of the cash receipt or payment in the Condensed Consolidated Statement of Cash Flows.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 Hedges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Forward Contracts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foreign currency forward contracts to reduce the earnings impact that exchange rate fluctuations have on operating expenses denominated in currencies other than the U.S. dollar. Changes in the fair value of the contracts are recorded in accumulated other comprehensive income (loss) in the Condensed Consolidated Balance Sheet and subsequently reclassified into earnings in the period during which the hedged transaction is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(loss) may be recognized in the Condensed Consolidated Statement of Operations based on an assessment of the contracts at the time of termination. As of September 28, 2024, the contracts had maturities of one to two months and an aggregate notional value of $7.2 million. Gains and losses expected to be reclassified into earnings in the next twelve months were not material. The fair value of the contracts, contract gains or losses recognized in other comprehensive income and amounts reclassified from accumulated other comprehensive income (loss) into earnings were not material for any of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Supplemental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details of selected Condensed Consolidated Balance Sheet items (in thousands):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tbl>
      <w:tblPr>
        <w:tblW w:w="4164" w:type="dxa"/>
        <w:jc w:val="center"/>
        <w:tblInd w:w="0" w:type="dxa"/>
        <w:tblLayout w:type="fixed"/>
        <w:tblCellMar>
          <w:top w:w="28" w:type="dxa"/>
          <w:left w:w="28" w:type="dxa"/>
          <w:bottom w:w="28" w:type="dxa"/>
          <w:right w:w="28" w:type="dxa"/>
        </w:tblCellMar>
      </w:tblPr>
      <w:tblGrid>
        <w:gridCol w:w="543"/>
        <w:gridCol w:w="477"/>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a portion of its headquarter facilities to other tenants. Lease income from operating leases was $2.2 million and $2.3 million during the nine months ended September 28, 2024 and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granted a waiver of compliance for the minimum interest coverage ratio through March 29, 2025. Based on the waiver, as of September 28, 2024, the Company was in compliance with all covenants of the credit facility. The Company’s obligations under the credit facility are guaranteed by the Guarantors and are secured by a security interest in substantially all assets of the Company and the Guarantors. As of September 28, 2024, no amounts were outstanding on the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240" w:after="283"/>
        <w:ind w:left="0" w:right="0" w:hanging="36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legal proceedings that have arisen in the normal course of business. While the ultimate results cannot be predicted with certainty, the Company does not expect them to have a material adverse effect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groups its products as Industrial &amp; Commercial or Home &amp; Life based on the target markets they address. The following represents revenue by product category (in thousands):</w:t>
      </w:r>
    </w:p>
    <w:tbl>
      <w:tblPr>
        <w:tblW w:w="7739" w:type="dxa"/>
        <w:jc w:val="center"/>
        <w:tblInd w:w="0" w:type="dxa"/>
        <w:tblLayout w:type="fixed"/>
        <w:tblCellMar>
          <w:top w:w="28" w:type="dxa"/>
          <w:left w:w="28" w:type="dxa"/>
          <w:bottom w:w="28" w:type="dxa"/>
          <w:right w:w="28" w:type="dxa"/>
        </w:tblCellMar>
      </w:tblPr>
      <w:tblGrid>
        <w:gridCol w:w="771"/>
        <w:gridCol w:w="678"/>
        <w:gridCol w:w="68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&amp; Commercial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&amp; Life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Company’s sales are made to distributors under agreements allowing certain rights of return and/or price protection related to the final selling price to the end customers. These factors impact the timing and uncertainty of revenues and cash flows. During the three and nine months ended September 28, 2024 and September 30, 2023, the impact of revenue related to performance obligations that were satisfied in previous reporting periods was insignificant. The following disaggregates the Company’s revenue by sales channel (in thousands):</w:t>
      </w:r>
    </w:p>
    <w:tbl>
      <w:tblPr>
        <w:tblW w:w="7080" w:type="dxa"/>
        <w:jc w:val="center"/>
        <w:tblInd w:w="0" w:type="dxa"/>
        <w:tblLayout w:type="fixed"/>
        <w:tblCellMar>
          <w:top w:w="28" w:type="dxa"/>
          <w:left w:w="28" w:type="dxa"/>
          <w:bottom w:w="28" w:type="dxa"/>
          <w:right w:w="28" w:type="dxa"/>
        </w:tblCellMar>
      </w:tblPr>
      <w:tblGrid>
        <w:gridCol w:w="532"/>
        <w:gridCol w:w="468"/>
        <w:gridCol w:w="4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costs are based on the fair values on the date of grant for stock awards and stock options and on the date of enrollment for the employee stock purchase plans. The fair values of stock awards (such as restricted stock units (“RSUs”), performance stock units (“PSUs”) and restricted stock awards (“RSAs”)) are estimated based on their intrinsic values. The fair values of market stock awards (“MSUs”) are estimated using a Monte Carlo simulation. The fair values of stock options and employee stock purchase plans are estimated using the Black-Scholes option-pricing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Stock-Based Compensation (Continued)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details of stock-based compensation costs recognized in the Condensed Consolidated Statements of Operations (in thousands): </w:t>
      </w:r>
    </w:p>
    <w:tbl>
      <w:tblPr>
        <w:tblW w:w="8539" w:type="dxa"/>
        <w:jc w:val="left"/>
        <w:tblInd w:w="0" w:type="dxa"/>
        <w:tblLayout w:type="fixed"/>
        <w:tblCellMar>
          <w:top w:w="28" w:type="dxa"/>
          <w:left w:w="28" w:type="dxa"/>
          <w:bottom w:w="28" w:type="dxa"/>
          <w:right w:w="28" w:type="dxa"/>
        </w:tblCellMar>
      </w:tblPr>
      <w:tblGrid>
        <w:gridCol w:w="1068"/>
        <w:gridCol w:w="941"/>
        <w:gridCol w:w="945"/>
        <w:gridCol w:w="231"/>
        <w:gridCol w:w="790"/>
        <w:gridCol w:w="119"/>
        <w:gridCol w:w="109"/>
        <w:gridCol w:w="109"/>
        <w:gridCol w:w="109"/>
        <w:gridCol w:w="257"/>
        <w:gridCol w:w="750"/>
        <w:gridCol w:w="132"/>
        <w:gridCol w:w="109"/>
        <w:gridCol w:w="109"/>
        <w:gridCol w:w="109"/>
        <w:gridCol w:w="231"/>
        <w:gridCol w:w="790"/>
        <w:gridCol w:w="119"/>
        <w:gridCol w:w="109"/>
        <w:gridCol w:w="109"/>
        <w:gridCol w:w="109"/>
        <w:gridCol w:w="230"/>
        <w:gridCol w:w="787"/>
        <w:gridCol w:w="168"/>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the Company recognized an expense reversal of $9.5 million to reflect a reduction in the estimated levels of achievement related to unvested performance stock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approximately $110.0 million of total unrecognized compensation cost related to equity grants as of September 28, 2024 that is expected to be recognized over a weighted-average period of approximately 2.2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includes both domestic and foreign income taxes at the applicable tax rates adjusted for non-deductible expenses, research and development tax credits, global intangible low-taxed income, Subpart F income inclusions, and other permanent differences.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$2.0 million and $3.4 million for the three months ended September 28, 2024 and September 30, 2023, resulting in effective tax rates of (7.6)% and 24.7%, respectively. Income tax expense was $38.3 million and $23.5 million for the nine months ended September 28, 2024 and September 30, 2023, resulting in effective tax rates of (29.7)% and 40.0%, respectively. The change in the provision for income taxes for the three and nine months ended September 28, 2024 is primarily due to the establishment of a valuation allowance against certain of the Company’s U.S. and Singapore deferred tax assets during the three months ended June 29, 2024. Because of the valuation allowance, the Company is unable to recognize the full tax benefit of the pre-tax losses incurred in those jurisdictions in the current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28, 2024, the Company’s provision for income taxes includes $3.8 million and $48.1 million of non-cash tax expense related to the valuation allowance. The Company establishes a valuation allowance when it is more likely than not that some portion or all of a deferred tax asset will not be realized. During the three months ended June 29, 2024, the Company determined a need for the valuation allowance due to a forecasted three-year cumulative pre-tax loss for the current and two preceding years in conjunction with the downturn in the semiconductor industry. The Company intends to maintain the valuation allowance until its ability to forecast sufficient future sources of taxable income is reestablished.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Uncertain Tax Positions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28, 2024, the Company had gross unrecognized tax benefits, inclusive of interest, of $6.3 million, of which $5.3 million would affect the effective tax rate if recognized. During the nine months ended September 28, 2024, the Company did not release any unrecognized tax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years 2015 through 2024 remain open to examination by the major taxing jurisdictions in which the Company operates. The Company’s 2021 and 2022 tax years are currently under examination in India. Although the outcome of tax audits is always uncertain, the Company believes that the results of the examination will not materially impact its financial position or results of operations. The Company is not currently under audit in any other major taxing jurisdiction.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Silicon Laboratories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Income Taxes (Continued)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unrecognized tax benefits will decrease by approximately $1.8 million, inclusive of interest, in the next 12 months due to the lapse of the statute of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Restructuring Activities</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implemented a workforce reduction of approximately 10% of its employees to reduce costs and align its business in response to market conditions. The following table summarizes the activity of the restructuring liability during the periods presented (in millions):</w:t>
      </w:r>
    </w:p>
    <w:tbl>
      <w:tblPr>
        <w:tblW w:w="4080" w:type="dxa"/>
        <w:jc w:val="left"/>
        <w:tblInd w:w="0" w:type="dxa"/>
        <w:tblLayout w:type="fixed"/>
        <w:tblCellMar>
          <w:top w:w="28" w:type="dxa"/>
          <w:left w:w="28" w:type="dxa"/>
          <w:bottom w:w="28" w:type="dxa"/>
          <w:right w:w="28" w:type="dxa"/>
        </w:tblCellMar>
      </w:tblPr>
      <w:tblGrid>
        <w:gridCol w:w="901"/>
        <w:gridCol w:w="793"/>
        <w:gridCol w:w="796"/>
        <w:gridCol w:w="434"/>
        <w:gridCol w:w="837"/>
        <w:gridCol w:w="319"/>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28, 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28, 2024, restructuring charges were not material, and during the nine months ended September 28, 2024, restructuring charges of $0.9 million were recognized in operating expenses in the Condensed Consolidated Statements of Operations. The cash payments for this activity were completed in the third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financial condition and results of operations should be read in conjunction with the Condensed Consolidated Financial Statements and related notes thereto included elsewhere in this report. This discussion contains forward-looking statements. Please see the “Cautionary Statement” above and “Risk Factors” below for discussions of the uncertainties, risks and assumptions associated with these statements. Our fiscal year-end financial reporting periods are a 52- or 53-week fiscal year that ends on the Saturday closest to December 31. Fiscal 2024 will have 52 weeks and fiscal 2023 had 52 weeks. Our third quarter of fiscal 2024 ended September 28, 2024. Our third quarter of fiscal 2023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Macroeconomic Conditions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the global economic environment has experienced inflationary pressure, high interest rates, and geopolitical tension, and we have experienced declines in revenues as our customers slowed purchases to reduce existing inventories in a softening market. While certain conditions have been improving during fiscal 2024, including deceleration of inflation and lowering of interest rates in certain geographies, there continues to be uncertainty regarding overall macroeconomic conditions, including increased geopolitical tensions, risk of recessions, and the effects of potential trade policies. Although we have seen sequential improvements in revenues over the course of fiscal 2024, the extent of the continued impact, or any new impact, of macroeconomic conditions on our operational and financial performance will depend on future developments, their impact to the business of our suppliers and/or customers, and other items identified under the section titled “Risk Factors” below, all of which are uncertain and cannot be predicted. Any extended period of global supply chain and economic disruption could materially affect our business, results of operations, access to sources of liquidity,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fabless semiconductor company, we rely on third-party semiconductor fabricators in Asia, and to a lesser extent the United States and Europe, to manufacture the silicon wafers that reflect our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Current Period Highlights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decreased $37.4 million in the recent quarter compared to the third quarter of fiscal 2023 due to decreased revenues from our Home &amp; Life products and our Industrial &amp; Commercial products. Gross profit decreased $28.7 million during the same period primarily as a result of a decrease in revenues. Gross margin decreased to 54.3% in the recent quarter compared to 58.4% in the third quarter of fiscal 2023, and increased compared to 52.7% in the second quarter of fiscal 2024, primarily due to variations in customer and product mix. Operating expenses increased by $13.2 million in the recent quarter compared to the third quarter of fiscal 2023 primarily due to higher personnel-related costs. Operating loss in the recent quarter was $29.7 million compared to operating income of $12.2 million in the third quarter of fiscal 2023. Refer to “Results of Operations” below for further discussion.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ended the third quarter of fiscal 2024 with $369.7 million in cash, cash equivalents, and short-term investments. Net cash used in operating activities was $24.0 million during the current year nine-month period. Accounts receivable were $48.9 million at September 28, 2024, representing 26 days sales outstanding (“DSO”). Inventory was $139.5 million at September 28, 2024, representing 165 days of inventory (“DOI”).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28, 2024,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who sell to our customers, Arrow Electronics and Edom Technology, each represented more than 10% of our revenues during the nine months ended September 28,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our revenues derived from outside of the United States was 93% during the nine months ended September 28, 2024. All of our revenues to date have been denominated in U.S. dollars. We believe that a majority of our revenues will continue to be derived from customers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line items set forth in our Condensed Consolidated Statements of Operations:</w:t>
      </w:r>
    </w:p>
    <w:p>
      <w:pPr>
        <w:pStyle w:val="TextBody"/>
        <w:bidi w:val="0"/>
        <w:spacing w:lineRule="auto" w:line="288" w:before="240" w:after="283"/>
        <w:jc w:val="left"/>
        <w:rPr/>
      </w:pP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Revenues are generated predominately by sales of our products. Our revenues are subject to variation from period to period due to the volume of shipments made within a period, the mix of products we sell, and the prices we charge for our products.</w:t>
      </w:r>
    </w:p>
    <w:p>
      <w:pPr>
        <w:pStyle w:val="TextBody"/>
        <w:bidi w:val="0"/>
        <w:spacing w:lineRule="auto" w:line="288" w:before="240" w:after="283"/>
        <w:jc w:val="left"/>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Cost of revenues includes the cost of purchasing finished silicon wafers processed by independent foundries; costs associated with assembly, test and shipping of those products; costs of personnel and equipment associated with manufacturing support, logistics, and quality assurance; costs of royalties, other intellectual property license costs, and certain acquired intangible assets; and an allocated portion of our occupancy costs. Our gross margin fluctuates depending on product mix, manufacturing yields, inventory valuation adjustments, average selling prices, and other factors.</w:t>
      </w:r>
    </w:p>
    <w:p>
      <w:pPr>
        <w:pStyle w:val="TextBody"/>
        <w:bidi w:val="0"/>
        <w:spacing w:lineRule="auto" w:line="288" w:before="240" w:after="283"/>
        <w:jc w:val="left"/>
        <w:rPr/>
      </w:pPr>
      <w:r>
        <w:rPr>
          <w:rFonts w:ascii="Times New Roman;sans-serif" w:hAnsi="Times New Roman;sans-serif"/>
          <w:b/>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 consists primarily of personnel-related expenses, including stock-based compensation, as 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pStyle w:val="TextBody"/>
        <w:bidi w:val="0"/>
        <w:spacing w:lineRule="auto" w:line="288" w:before="240" w:after="283"/>
        <w:jc w:val="left"/>
        <w:rPr/>
      </w:pPr>
      <w:r>
        <w:rPr>
          <w:rFonts w:ascii="Times New Roman;sans-serif" w:hAnsi="Times New Roman;sans-serif"/>
          <w:b/>
          <w:color w:val="000000"/>
          <w:sz w:val="20"/>
        </w:rPr>
        <w:t>Selling, General and Administrative.</w:t>
      </w:r>
      <w:r>
        <w:rPr>
          <w:color w:val="000000"/>
        </w:rPr>
        <w:t xml:space="preserve"> </w:t>
      </w:r>
      <w:r>
        <w:rPr>
          <w:rFonts w:ascii="Times New Roman;sans-serif" w:hAnsi="Times New Roman;sans-serif"/>
          <w:b w:val="false"/>
          <w:color w:val="000000"/>
          <w:sz w:val="20"/>
        </w:rPr>
        <w:t>Selling, general and administrative expense consists primarily of personnel-related expenses, including stock-based compensation, as well as an allocated portion of our occupancy costs, sales commissions to independent sales representatives, amortization of intangible assets, professional fees, legal fees, and promotional and marketing expenses.</w:t>
      </w:r>
    </w:p>
    <w:p>
      <w:pPr>
        <w:pStyle w:val="TextBody"/>
        <w:bidi w:val="0"/>
        <w:spacing w:lineRule="auto" w:line="288" w:before="240" w:after="283"/>
        <w:jc w:val="left"/>
        <w:rPr/>
      </w:pPr>
      <w:r>
        <w:rPr>
          <w:rFonts w:ascii="Times New Roman;sans-serif" w:hAnsi="Times New Roman;sans-serif"/>
          <w:b/>
          <w:color w:val="000000"/>
          <w:sz w:val="20"/>
        </w:rPr>
        <w:t>Interest Income and Other, Net.</w:t>
      </w:r>
      <w:r>
        <w:rPr>
          <w:color w:val="000000"/>
        </w:rPr>
        <w:t xml:space="preserve"> </w:t>
      </w:r>
      <w:r>
        <w:rPr>
          <w:rFonts w:ascii="Times New Roman;sans-serif" w:hAnsi="Times New Roman;sans-serif"/>
          <w:b w:val="false"/>
          <w:color w:val="000000"/>
          <w:sz w:val="20"/>
        </w:rPr>
        <w:t>Interest income and other, net reflects interest earned on our cash, cash equivalents and investment balances, foreign currency remeasurement adjustments, and other non-operating income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Interest Expense.</w:t>
      </w:r>
      <w:r>
        <w:rPr>
          <w:color w:val="000000"/>
        </w:rPr>
        <w:t xml:space="preserve"> </w:t>
      </w:r>
      <w:r>
        <w:rPr>
          <w:rFonts w:ascii="Times New Roman;sans-serif" w:hAnsi="Times New Roman;sans-serif"/>
          <w:b w:val="false"/>
          <w:color w:val="000000"/>
          <w:sz w:val="20"/>
        </w:rPr>
        <w:t>Interest expense consists of interest on our short and long-term obligations, including our convertible senior notes that were previously outstanding and our credit facility. Interest expense on our convertible senior notes included contractual interest and amortization of debt issuance costs.</w:t>
      </w:r>
    </w:p>
    <w:p>
      <w:pPr>
        <w:pStyle w:val="TextBody"/>
        <w:bidi w:val="0"/>
        <w:spacing w:lineRule="auto" w:line="288" w:before="240" w:after="283"/>
        <w:jc w:val="left"/>
        <w:rPr/>
      </w:pPr>
      <w:r>
        <w:rPr>
          <w:rFonts w:ascii="Times New Roman;sans-serif" w:hAnsi="Times New Roman;sans-serif"/>
          <w:b/>
          <w:color w:val="000000"/>
          <w:sz w:val="20"/>
        </w:rPr>
        <w:t>Provision for Income Taxes.</w:t>
      </w:r>
      <w:r>
        <w:rPr>
          <w:color w:val="000000"/>
        </w:rPr>
        <w:t xml:space="preserve"> </w:t>
      </w:r>
      <w:r>
        <w:rPr>
          <w:rFonts w:ascii="Times New Roman;sans-serif" w:hAnsi="Times New Roman;sans-serif"/>
          <w:b w:val="false"/>
          <w:color w:val="000000"/>
          <w:sz w:val="20"/>
        </w:rPr>
        <w:t xml:space="preserve">Provision for income taxes includes both domestic and foreign income taxes at the applicable tax rates adjusted for non-deductible expenses, research and development tax credits, global intangible low-taxed income, Subpart F income inclusions, and other permanent differences. See Note 10,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Equity-method Loss.</w:t>
      </w:r>
      <w:r>
        <w:rPr>
          <w:color w:val="000000"/>
        </w:rPr>
        <w:t xml:space="preserve"> </w:t>
      </w:r>
      <w:r>
        <w:rPr>
          <w:rFonts w:ascii="Times New Roman;sans-serif" w:hAnsi="Times New Roman;sans-serif"/>
          <w:b w:val="false"/>
          <w:color w:val="000000"/>
          <w:sz w:val="20"/>
        </w:rPr>
        <w:t xml:space="preserve">Equity-method loss represents income or loss on our equity-method investment.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as a percentage of revenues for the periods indicated:</w:t>
      </w:r>
    </w:p>
    <w:tbl>
      <w:tblPr>
        <w:tblW w:w="9125" w:type="dxa"/>
        <w:jc w:val="left"/>
        <w:tblInd w:w="0" w:type="dxa"/>
        <w:tblLayout w:type="fixed"/>
        <w:tblCellMar>
          <w:top w:w="28" w:type="dxa"/>
          <w:left w:w="28" w:type="dxa"/>
          <w:bottom w:w="28" w:type="dxa"/>
          <w:right w:w="28" w:type="dxa"/>
        </w:tblCellMar>
      </w:tblPr>
      <w:tblGrid>
        <w:gridCol w:w="1072"/>
        <w:gridCol w:w="938"/>
        <w:gridCol w:w="944"/>
        <w:gridCol w:w="308"/>
        <w:gridCol w:w="308"/>
        <w:gridCol w:w="632"/>
        <w:gridCol w:w="134"/>
        <w:gridCol w:w="134"/>
        <w:gridCol w:w="134"/>
        <w:gridCol w:w="308"/>
        <w:gridCol w:w="308"/>
        <w:gridCol w:w="632"/>
        <w:gridCol w:w="109"/>
        <w:gridCol w:w="109"/>
        <w:gridCol w:w="109"/>
        <w:gridCol w:w="308"/>
        <w:gridCol w:w="308"/>
        <w:gridCol w:w="632"/>
        <w:gridCol w:w="126"/>
        <w:gridCol w:w="126"/>
        <w:gridCol w:w="126"/>
        <w:gridCol w:w="308"/>
        <w:gridCol w:w="308"/>
        <w:gridCol w:w="704"/>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70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Equity-method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Revenues</w:t>
      </w:r>
    </w:p>
    <w:tbl>
      <w:tblPr>
        <w:tblW w:w="11300" w:type="dxa"/>
        <w:jc w:val="left"/>
        <w:tblInd w:w="0" w:type="dxa"/>
        <w:tblLayout w:type="fixed"/>
        <w:tblCellMar>
          <w:top w:w="28" w:type="dxa"/>
          <w:left w:w="28" w:type="dxa"/>
          <w:bottom w:w="28" w:type="dxa"/>
          <w:right w:w="28" w:type="dxa"/>
        </w:tblCellMar>
      </w:tblPr>
      <w:tblGrid>
        <w:gridCol w:w="473"/>
        <w:gridCol w:w="415"/>
        <w:gridCol w:w="418"/>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263"/>
        <w:gridCol w:w="263"/>
        <w:gridCol w:w="367"/>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63"/>
        <w:gridCol w:w="263"/>
        <w:gridCol w:w="41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3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&amp;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&amp;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4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revenues in the recent three-month period was due to decreased revenues of $24.5 million from our Industrial &amp; Commercial products and decreased revenues of $12.9 million from our Home &amp; Life products. The decrease in revenues in the recent nine-month period was due to decreased revenues of $187.2 million from our Industrial &amp; Commercial products and decreased revenues of $90.1 million from our Home &amp; Life products. Revenues decreased in the recent three and nine-month periods as a result of decreases in average selling prices of our products and unit volumes. The average selling prices of our products may fluctuate significantly from period to period due to changes in product mix, pricing decisions and other factors. In general, as our products become more mature, we expect to experience decreases in average selling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bl>
      <w:tblPr>
        <w:tblW w:w="9992" w:type="dxa"/>
        <w:jc w:val="left"/>
        <w:tblInd w:w="0" w:type="dxa"/>
        <w:tblLayout w:type="fixed"/>
        <w:tblCellMar>
          <w:top w:w="28" w:type="dxa"/>
          <w:left w:w="28" w:type="dxa"/>
          <w:bottom w:w="28" w:type="dxa"/>
          <w:right w:w="28" w:type="dxa"/>
        </w:tblCellMar>
      </w:tblPr>
      <w:tblGrid>
        <w:gridCol w:w="429"/>
        <w:gridCol w:w="377"/>
        <w:gridCol w:w="378"/>
        <w:gridCol w:w="109"/>
        <w:gridCol w:w="109"/>
        <w:gridCol w:w="109"/>
        <w:gridCol w:w="242"/>
        <w:gridCol w:w="587"/>
        <w:gridCol w:w="311"/>
        <w:gridCol w:w="109"/>
        <w:gridCol w:w="109"/>
        <w:gridCol w:w="109"/>
        <w:gridCol w:w="219"/>
        <w:gridCol w:w="640"/>
        <w:gridCol w:w="281"/>
        <w:gridCol w:w="109"/>
        <w:gridCol w:w="109"/>
        <w:gridCol w:w="109"/>
        <w:gridCol w:w="211"/>
        <w:gridCol w:w="586"/>
        <w:gridCol w:w="271"/>
        <w:gridCol w:w="109"/>
        <w:gridCol w:w="109"/>
        <w:gridCol w:w="109"/>
        <w:gridCol w:w="219"/>
        <w:gridCol w:w="640"/>
        <w:gridCol w:w="281"/>
        <w:gridCol w:w="109"/>
        <w:gridCol w:w="109"/>
        <w:gridCol w:w="109"/>
        <w:gridCol w:w="219"/>
        <w:gridCol w:w="640"/>
        <w:gridCol w:w="281"/>
        <w:gridCol w:w="109"/>
        <w:gridCol w:w="109"/>
        <w:gridCol w:w="109"/>
        <w:gridCol w:w="211"/>
        <w:gridCol w:w="691"/>
        <w:gridCol w:w="316"/>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3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decreased during the recent three and nine-month periods primarily as a result of decreases in revenues in the periods. Gross margin decreased primarily due to variations in customer and product mix, with the percentage of revenues attributed to direct customers increasing as compared to revenue from distributors in the three and nine-month periods.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tbl>
      <w:tblPr>
        <w:tblW w:w="11011" w:type="dxa"/>
        <w:jc w:val="left"/>
        <w:tblInd w:w="0" w:type="dxa"/>
        <w:tblLayout w:type="fixed"/>
        <w:tblCellMar>
          <w:top w:w="28" w:type="dxa"/>
          <w:left w:w="28" w:type="dxa"/>
          <w:bottom w:w="28" w:type="dxa"/>
          <w:right w:w="28" w:type="dxa"/>
        </w:tblCellMar>
      </w:tblPr>
      <w:tblGrid>
        <w:gridCol w:w="429"/>
        <w:gridCol w:w="377"/>
        <w:gridCol w:w="380"/>
        <w:gridCol w:w="109"/>
        <w:gridCol w:w="109"/>
        <w:gridCol w:w="109"/>
        <w:gridCol w:w="211"/>
        <w:gridCol w:w="511"/>
        <w:gridCol w:w="271"/>
        <w:gridCol w:w="109"/>
        <w:gridCol w:w="109"/>
        <w:gridCol w:w="109"/>
        <w:gridCol w:w="211"/>
        <w:gridCol w:w="511"/>
        <w:gridCol w:w="271"/>
        <w:gridCol w:w="109"/>
        <w:gridCol w:w="109"/>
        <w:gridCol w:w="109"/>
        <w:gridCol w:w="211"/>
        <w:gridCol w:w="406"/>
        <w:gridCol w:w="109"/>
        <w:gridCol w:w="109"/>
        <w:gridCol w:w="109"/>
        <w:gridCol w:w="109"/>
        <w:gridCol w:w="203"/>
        <w:gridCol w:w="203"/>
        <w:gridCol w:w="367"/>
        <w:gridCol w:w="109"/>
        <w:gridCol w:w="109"/>
        <w:gridCol w:w="109"/>
        <w:gridCol w:w="211"/>
        <w:gridCol w:w="616"/>
        <w:gridCol w:w="271"/>
        <w:gridCol w:w="109"/>
        <w:gridCol w:w="109"/>
        <w:gridCol w:w="109"/>
        <w:gridCol w:w="211"/>
        <w:gridCol w:w="616"/>
        <w:gridCol w:w="271"/>
        <w:gridCol w:w="109"/>
        <w:gridCol w:w="109"/>
        <w:gridCol w:w="109"/>
        <w:gridCol w:w="211"/>
        <w:gridCol w:w="421"/>
        <w:gridCol w:w="109"/>
        <w:gridCol w:w="109"/>
        <w:gridCol w:w="109"/>
        <w:gridCol w:w="109"/>
        <w:gridCol w:w="210"/>
        <w:gridCol w:w="211"/>
        <w:gridCol w:w="366"/>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in the recent three-month period increased, with an increase of $3.2 million for personnel-related costs as a result of lower expenses in the prior year period due to cost containment measures, and an increase of $2.0 million in software expense, partially offset by a decrease of $0.8 million for amortization of intangible assets. The decrease in research and development expense in the recent nine-month period was primarily due to decreases of $8.2 million for personnel-related expenses as a result of our restructuring activities and $2.1 million for technical services, partially offset by an increase of $6.2 million in software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w:t>
      </w:r>
    </w:p>
    <w:tbl>
      <w:tblPr>
        <w:tblW w:w="11221" w:type="dxa"/>
        <w:jc w:val="left"/>
        <w:tblInd w:w="0" w:type="dxa"/>
        <w:tblLayout w:type="fixed"/>
        <w:tblCellMar>
          <w:top w:w="28" w:type="dxa"/>
          <w:left w:w="28" w:type="dxa"/>
          <w:bottom w:w="28" w:type="dxa"/>
          <w:right w:w="28" w:type="dxa"/>
        </w:tblCellMar>
      </w:tblPr>
      <w:tblGrid>
        <w:gridCol w:w="467"/>
        <w:gridCol w:w="410"/>
        <w:gridCol w:w="414"/>
        <w:gridCol w:w="109"/>
        <w:gridCol w:w="109"/>
        <w:gridCol w:w="109"/>
        <w:gridCol w:w="211"/>
        <w:gridCol w:w="511"/>
        <w:gridCol w:w="271"/>
        <w:gridCol w:w="109"/>
        <w:gridCol w:w="109"/>
        <w:gridCol w:w="109"/>
        <w:gridCol w:w="211"/>
        <w:gridCol w:w="511"/>
        <w:gridCol w:w="271"/>
        <w:gridCol w:w="109"/>
        <w:gridCol w:w="109"/>
        <w:gridCol w:w="109"/>
        <w:gridCol w:w="211"/>
        <w:gridCol w:w="406"/>
        <w:gridCol w:w="109"/>
        <w:gridCol w:w="109"/>
        <w:gridCol w:w="109"/>
        <w:gridCol w:w="109"/>
        <w:gridCol w:w="255"/>
        <w:gridCol w:w="256"/>
        <w:gridCol w:w="367"/>
        <w:gridCol w:w="109"/>
        <w:gridCol w:w="109"/>
        <w:gridCol w:w="109"/>
        <w:gridCol w:w="211"/>
        <w:gridCol w:w="616"/>
        <w:gridCol w:w="271"/>
        <w:gridCol w:w="109"/>
        <w:gridCol w:w="109"/>
        <w:gridCol w:w="109"/>
        <w:gridCol w:w="211"/>
        <w:gridCol w:w="616"/>
        <w:gridCol w:w="271"/>
        <w:gridCol w:w="109"/>
        <w:gridCol w:w="109"/>
        <w:gridCol w:w="109"/>
        <w:gridCol w:w="211"/>
        <w:gridCol w:w="421"/>
        <w:gridCol w:w="109"/>
        <w:gridCol w:w="109"/>
        <w:gridCol w:w="109"/>
        <w:gridCol w:w="109"/>
        <w:gridCol w:w="210"/>
        <w:gridCol w:w="211"/>
        <w:gridCol w:w="36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selling, general and administrative expense in the recent three-month period was primarily due to a $9.3 million increase in personnel-related costs due to lower costs in the prior year period as a result of reduced stock compensation costs driven by a decline in expected achievement for certain performance-based awards, and cost containment efforts, partially offset by a $0.4 million decrease in occupancy costs. The decrease in selling, general and administrative expense in the recent nine-month period was primarily due to a $2.8 million decrease in outside services, a $0.7 million decrease in occupancy costs, and a $0.4 million decrease in personnel-related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Income and Other,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and other, net for the three and nine months ended September 28, 2024 was $3.5 million and $9.0 million, respectively, compared to $2.9 million and $15.6 million for the three and nine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respectively. The increase in interest income and other, net in the recent three-month period was primarily due to higher interest rates earned on the investments. The decrease in interest income and other, net in the recent nine-month period was primarily due to lower interest-bearing investment balances as a result of the sale of investments to fund the settlement of our 2025 convertible senior notes in the second quarter of fiscal 2023, stock repurchases in the first three quarters of fiscal 2023, and repayment of borrowing from our credit facility in the third quarter of fiscal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and nine months ended September 28, 2024 was $0.3 million and $1.1 million, respectively, compared to $1.4 million and $4.6 million for the three and nine months ended September 30, 2023, respectively. The decrease was primarily due to the settlement of our 2025 convertible senior notes in the second quarter of fiscal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768"/>
        <w:gridCol w:w="674"/>
        <w:gridCol w:w="668"/>
        <w:gridCol w:w="109"/>
        <w:gridCol w:w="109"/>
        <w:gridCol w:w="109"/>
        <w:gridCol w:w="263"/>
        <w:gridCol w:w="506"/>
        <w:gridCol w:w="338"/>
        <w:gridCol w:w="109"/>
        <w:gridCol w:w="109"/>
        <w:gridCol w:w="109"/>
        <w:gridCol w:w="263"/>
        <w:gridCol w:w="506"/>
        <w:gridCol w:w="338"/>
        <w:gridCol w:w="109"/>
        <w:gridCol w:w="109"/>
        <w:gridCol w:w="109"/>
        <w:gridCol w:w="211"/>
        <w:gridCol w:w="473"/>
        <w:gridCol w:w="109"/>
        <w:gridCol w:w="109"/>
        <w:gridCol w:w="109"/>
        <w:gridCol w:w="109"/>
        <w:gridCol w:w="238"/>
        <w:gridCol w:w="577"/>
        <w:gridCol w:w="306"/>
        <w:gridCol w:w="109"/>
        <w:gridCol w:w="109"/>
        <w:gridCol w:w="109"/>
        <w:gridCol w:w="238"/>
        <w:gridCol w:w="577"/>
        <w:gridCol w:w="306"/>
        <w:gridCol w:w="109"/>
        <w:gridCol w:w="109"/>
        <w:gridCol w:w="109"/>
        <w:gridCol w:w="211"/>
        <w:gridCol w:w="511"/>
        <w:gridCol w:w="162"/>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1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provision for income taxes for the three and nine months ended September 28, 2024 is primarily due to the establishment of a valuation allowance against certain of our U.S. and Singapore deferred tax assets during the three months ended June 29, 2024. Because of the valuation allowance, we are unable to recognize the full tax benefit of the pre-tax losses incurred in those jurisdictions in the current year. A valuation allowance is required to be established when it is more likely than not that some portion or all of a deferred tax asset will not be realized. There is a need for the valuation allowance due to a forecasted three-year cumulative pre-tax loss for the current and two preceding years in conjunction with the downturn in the semiconductor industry. We intend to maintain the valuation allowance until our ability to forecast sufficient future sources of taxable income is reestablished.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Equity-method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Equity-method loss for the three and nine months ended September 30, 2023 was $0.1 million and $1.2 million, respectively. Our equity-method investment was sold in the fourth quarter of fiscal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as of September 28, 2024 consisted of $369.7 million in cash, cash equivalents and short-term investments, of which $183.8 million was held by our U.S. entities. The remaining balance was held by our foreign subsidiaries. Our cash equivalents and short-term investments consisted of government debt securities, which include municipal bonds and U.S. government securities; corporate debt securities, which include asset-backed securities, corporate bonds and Yankee bonds; and money market funds.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$24.0 million during the nine months ended September 28, 2024, compared to $48.9 million during the nine months ended September 30, 2023. Operating cash flows during the nine months ended September 28, 2024 reflect our net loss of $167.2 million, adjustments of $111.4 million for depreciation, amortization, stock-based compensation, and deferred income taxes, and a net cash inflow of $31.8 million due to changes in our operating assets and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increased to $48.9 million at September 28, 2024 from $29.3 million at December 30, 2023. The increase in accounts receivable resulted primarily from normal variations in the timing of collections and billings. Our DSO decreased to 26 days at September 28, 2024 from 30 days at December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decreased to $139.5 million at September 28, 2024 from $194.3 million at December 30, 2023. Our inventory levels will vary based on the availability of supply and the impact of variations between forecasted demand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purchasing inventory and actual demand. Our DOI was 165 days at September 28, 2024 and 407 days at December 30,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$151.3 million during the nine months ended September 28, 2024, compared to $426.4 million during the nine months ended September 30, 2023. The decrease in cash inflows was principally due to a decrease in cash provided by net purchases, sales, and maturities of marketable securities of $298.6 million in the current period.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$51.7 million during the nine months ended September 28, 2024, compared to net cash used of $717.5 million during the nine months ended September 30, 2023. The decrease in cash outflows was principally due to $571.2 million in payments on debt and $217.1 million for repurchases of common stock, partially offset by $80.0 million in proceeds from our revolving line of credit in the prior year period.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28, 2024,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As of September 28, 2024, no amounts were outstanding on the revolving credit facility. We were granted a waiver of compliance for the minimum interest coverage ratio through March 29, 2025. In the event we are not able to achieve compliance by the end of the waiver period, we may need to obtain an additional waiver in order to access the revolving credit facility.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prior to that time. We may enter into acquisitions or strategic arrangements in the future which also could require us to seek additional equity or debt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in the Management’s Discussion and Analysis of Financial Condition and Results of Operations section of our Form 10-K for the fiscal year ended December 30, 2023. There have been no material subsequent changes to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includes cash, cash equivalents and short-term investments. Our main investment objectives are the preservation of investment capital and the maximization of after-tax returns on our investment portfolio. Our interest income is sensitive to changes in the general level of U.S. interest rates. A 100 basis point decline in yield on our investment portfolio holdings as of September 28, 2024 would decrease our future annual interest income by approximately $2.9 million. We believe that our investment policy, which defines the duration, concentration, and minimum credit quality of the allowable investments, meets our investment objectives.</w:t>
      </w:r>
    </w:p>
    <w:p>
      <w:pPr>
        <w:pStyle w:val="TextBody"/>
        <w:bidi w:val="0"/>
        <w:spacing w:lineRule="auto" w:line="288" w:before="240" w:after="283"/>
        <w:ind w:left="0" w:right="0" w:firstLine="45"/>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interest rate fluctuations in the normal course of our business, including through our credit facility. The interest rate on the credit facility consists of a variable-rate of interest and an applicable margin. While we have drawn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the credit facility in the past, we have no borrowings as of September 28, 2024. If we borrow from the credit facility in the future, we will again be exposed to interest rate fluctuations.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Condensed Consolidated Statements of Operations. We use foreign currency forward contracts to manage exposure to foreign exchange risk. Gains and losses on foreign currency forward contracts are recognized in earnings in the same period during which the hedged transaction is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www.silabs.com. Our annual report on Form 10-K, quarterly reports on Form 10-Q, current reports on Form 8-K and amendments to those reports filed or furnished pursuant to Section 13(a) or 15(d) of the Securities Exchange Act of 1934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quantitative and qualitative disclosures regarding market risk is set forth in Management’s Discussion and Analysis of Financial Condition and Results of Operations under Item 2 above. Such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40"/>
        <w:jc w:val="left"/>
        <w:rPr/>
      </w:pPr>
      <w:r>
        <w:rPr>
          <w:rFonts w:ascii="Times New Roman;sans-serif" w:hAnsi="Times New Roman;sans-serif"/>
          <w:b w:val="false"/>
          <w:color w:val="000000"/>
          <w:sz w:val="20"/>
        </w:rPr>
        <w:t xml:space="preserve">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As a result of the material weakness in our internal control over financial reporting described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 xml:space="preserve">in our Annual Report on Form 10-K for the year ended December 30, 2023 filed with the SEC, our management, including our CEO and CFO, concluded that our disclosure controls and procedures were not effective as of September 28, 2024 to provide reasonable assurance that information required to be disclosed by us in the reports filed or submitted by us under the Exchange Act is recorded, processed, summarized, and reported within the time periods specified in the SEC’s rules and forms.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controls during the fiscal quarter ended September 28, 2024 that materially affected, or is reasonably likely to materially affect, our internal controls over financial reporting, with the exception of ongoing remediation efforts of the aforementioned material weakness.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Remediation</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implement our plan to remediate the aforementioned material weakness, including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Evaluating and reassessing the design of our inventory valuation methods, including key assumptions used in the determination of the net realizable value of our inventory;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Designing and implementing enhanced controls and documentation requirements during the quarter ended September 28, 2024 that support the completeness and accuracy of data used in the inventory valuation assessment;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Formalizing management’s review and assessment of information used in the inventory valuation assessment;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Refining the critical assumptions to be used in the inventory valuation assessment, including demand forecast information, historical results, market conditions, and aging of 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outlined plans will effectively address the deficiency constituting the material weakness, with the remediation efforts, including necessary testing, anticipated to conclude by the end of 2024. However, the exact timing of completion cannot be guaranteed. As the remediation progresses, management may enact additional measures or refine elements of the remediation plan described above as deemed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pPr>
      <w:r>
        <w:rPr>
          <w:rFonts w:ascii="Times New Roman;sans-serif" w:hAnsi="Times New Roman;sans-serif"/>
          <w:b w:val="false"/>
          <w:color w:val="000000"/>
          <w:sz w:val="20"/>
        </w:rPr>
        <w:t xml:space="preserve">Information regarding legal proceedings is provided in Note 7,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Condensed Consolidated Financial Statements. Such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Global Business Risks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subject to the cyclical nature of the semiconductor industry, which has been subject to significant fluctuations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would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This downturn has negatively affected, and may continue to have an adverse effect, on our business and operating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 within the numerous markets we target may reduce sales of our products and reduce our market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for semiconductors in general, and for mixed-signal products in particular, are intensely competitive. We expect that the market for our products will continually evolve and will be subject to rapid technological change. For example, new products and disruptive technologies are being developed, and companies with which we compete have implemented artificial intelligence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 Broadcom,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the victim of business disruptions and security breaches, including cyber-attacks, which could lead to liability or could damage our reputation and financial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is an increased risk that we may experience cybersecurity-related events such as phishing attacks and other security challenges as a result of hybrid working arrangements and employees and our service providers working remotely.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risk of cyber-attacks has increased in connection with the conflicts between Russia and Ukraine and in the Middle East. In light of those and other geopolitical events,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In 2022, the U.S. Cybersecurity and Infrastructure Security Agency issued a “Shields Up” alert for American organizations noting the potential for Russia’s cyber-attacks on Ukrainian government and critical infrastructure organizations to impact organizations both within and beyond the United States, particularly in the wake of sanctions imposed by the United States and its allies. These circumstances increase the likelihood of cyber-attacks and/or security breaches.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information technology failures that could damage our reputation, business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Our security measures may not detect or prevent such security breaches. Any such compromise of our 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financial results. Additionally, a successful cyber-attack against one of these third parties’ information technology systems may disrupt our supply chain.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limited resources compared to some of our current and potential competitors and we may not be able to compete effectively and increase market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Furthermore, our current or potential competitors may be acquired by third parties with greater available resources and the ability to initiate or 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be able to maintain our historical growth and may experience significant period-to-period fluctuations in our revenues and operating results, which may result in volatility in our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factors, in addition to those cited in other risk factors applicable to our business, may contribute to fluctuations in our revenues and operating results, including: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volume of orders received from our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timeliness of our new product introductions and the rate at which our new products may cannibalize our older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rate of acceptance of our products by our customers, including the acceptance of new products we may develop for integration in the products manufactured by such customers, which we refer to as “design wins”;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time lag and realization rate between “design wins” and production orders;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Supplier capacity constraints;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demand for, and life cycles of, the products incorporating our mixed-signal solutions;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rate of adoption of mixed-signal products in the markets we target;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Deferrals or reductions of customer orders in anticipation of new products or product enhancements from us or our competitors or other providers of mixed-signal 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product mix;</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average selling prices for our products could drop suddenly due to competitive offerings or competitive predatory pricing;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average selling prices for our products generally decline over 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market standards;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charges related to inventory, equipment or other long-lived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software used in our products, including software provided by third parties, may not meet the needs of our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customers may not be able to obtain other components such as capacitors that they need to incorporate in conjunction with our products, leading to potential downturn in the demand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legal costs to defend our intellectual property rights or respond to claims against us;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rate at which new markets emerge for products we are currently developing or for which our design expertise can be utilized to develop products for these new markets.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rely on third parties to manufacture, assemble and test our products, which subjects us to risks of disruptions in our supply chain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significant risks associated with relying on these third-party foundries and subcontractors,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by us, our customers or their end customers to qualify a selected supplier;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 to our suppliers’ operations due to geopolitical changes, including risks related to deteriorating relations between China and Taiwan;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insolvency of the third-party subcontractors;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Reduced control over delivery schedules and quality;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Limited warranties on wafers or products supplied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increases in prices or payments in advance for capacity;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need for international-based supply, logistics and financial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 to our supply chain resulting from cyber-attacks on our suppliers’ information technology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Their inability to supply or support new or changing packaging technologies;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Low test yields.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suppliers experience closures or reductions in their capacity utilization levels in the future, we may have difficulty sourcing materials necessary to fulfill production requirements. Public health crises, such as the COVID-19 pandemic, may affect our suppliers’ production capabilities as a result of quarantines, closures of production facilities, lack of supplies or delays caused by restrictions on travel.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an epidemic such as the COVID-19 outbreak,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pStyle w:val="TextBody"/>
        <w:bidi w:val="0"/>
        <w:spacing w:lineRule="auto" w:line="288" w:before="240" w:after="283"/>
        <w:jc w:val="left"/>
        <w:rPr/>
      </w:pPr>
      <w:r>
        <w:rPr>
          <w:rFonts w:ascii="Times New Roman;sans-serif" w:hAnsi="Times New Roman;sans-serif"/>
          <w:b/>
          <w:color w:val="000000"/>
          <w:sz w:val="20"/>
        </w:rPr>
        <w:t>We are a global company, which subjects us to additional business risks including logistical and financial complexity,</w:t>
      </w:r>
      <w:r>
        <w:rPr>
          <w:color w:val="000000"/>
        </w:rPr>
        <w:t xml:space="preserve"> </w:t>
      </w:r>
      <w:r>
        <w:rPr>
          <w:rFonts w:ascii="Times New Roman;sans-serif" w:hAnsi="Times New Roman;sans-serif"/>
          <w:b/>
          <w:color w:val="000000"/>
          <w:sz w:val="20"/>
        </w:rPr>
        <w:t>supply disruption, political instability and currency fluctuations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international subsidiaries and have opened offices in international markets to support our activities in Asia, the Americas and Europe. This has included the establishment of a headquarters in Singapore for non-U.S. operations. During the nine months ended September 28, 2024, the percentage of our revenues derived from outside of the United States was 93% (and the revenue associated with end customers in China was 15%, and revenue attributed to China based on shipped-to location was 33%). We may not be able to maintain or increase global market demand for our products. Our international operations are subject to a number of risks,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Complexity and costs of managing international operations and related tax obligations, including our headquarters for non-U.S. operations in Singapore;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Protectionist laws and business practices, including trade restrictions, tariffs, export controls, quotas and other trade barriers, including China-U.S. trade policies;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Restrictions or tariffs imposed on certain countries and sanctions or export controls imposed on customers or suppliers may affect our ability to sell and source our products;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related to the protection of our intellectual property rights in some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Multiple, conflicting and changing tax and other laws and regulations that may impact both our international and domestic tax and other liabilities and result in increased complexity and costs, including the impact of the Tax Cuts and Jobs Act, which increased our effective tax rate, in part due to the impact of the requirement to capitalize and amortize foreign research and development expenses beginning in 2022;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Longer sales cycles;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Greater difficulty in accounts receivable collection and longer collection periods;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High levels of distributor inventory subject to price protection and rights of return to us;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and economic instability;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demand and the supply chain may be adversely affected by military conflict (including the ongoing conflicts in the Middle East and between Russia and Ukraine), terrorism, sanctions or other geopolitical events globally;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Greater difficulty in hiring and retaining qualified personnel;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need to have business and operations systems that can meet the needs of our international business and operating structure.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could reduce our buying power with respect to international suppliers.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inability to manage growth could materially and adversely affect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the nine months ended September 28, 2024 was $83.2 million, or 50.0%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depend on our key personnel to manage our business effectively in a rapidly changing market, and if we are unable to retain our current personnel and hire additional personnel, our ability to develop and successfully market our products could be harmed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There is currently a shortage of qualified personnel with significant experience in the design, development, manufacturing, marketing and sales of analog and mixed-signal products, and competition for such personnel is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are unable to develop or acquire new and enhanced products that achieve market acceptance in a timely manner, our operating results and competitive position could be harmed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Requirements of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Accurate prediction of market and technical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Timely completion and introduction of new designs;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Timely qualification and certification of our products for use in our customers’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Commercial acceptance and volume production of the products into which our ICs will be incorporated;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Availability of foundry, assembly and test capacity;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Achievement of high manufacturing yields;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Quality, price, performance, power use and size of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Availability, quality, price and performance of competing products and technologies;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customer service, application support capabilities and responsiveness;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Successful development of our relationships with existing and potential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Technology, industry standards or end-user preferences;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Cooperation of third-party software providers and our semiconductor vendors to support our chips within a system.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If the industry cannot agree on a common set of standards, then the growth of the IoT market may be slower than expected.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acquisitions we make could disrupt our business and harm our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have made and may make in the future entail a number of risks that could materially and adversely affect our business and operating results,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Problems integrating the acquired operations, technologies or products with our existing business and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management’s time and attention from our core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Need for financial resources above our planned investment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retaining business relationships with suppliers and customers of the acquired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entering markets in which we lack prior experience;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the transfer of licenses of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operating costs due to acquired overhead;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Tax issues associated with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Acquisition-related disputes, including disputes over earn-outs and escrows;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loss of key employees of the acquired company;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impairment of related goodwill and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acquisitions also could cause us to incur debt or contingent liabilities or cause us to issue equity securities that could negatively impact the ownership percentages of existing shareholders.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average selling prices of our products could decrease rapidly which may negatively impact our revenues and gross profit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Failure to manage our distribution channel relationships could impede our future growth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the nine months ended September 28, 2024, 69% of our revenue was derived from distributors (and 44% of our revenue 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do not have long-term commitments from our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may decide not to purchase our products at all, purchase fewer products than they did in the past, or alter their purchasing patterns, particularly because: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do not have material long-term purchase contracts with our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Substantially all of our sales to date have been made on a purchase order basis, which permits our customers to cancel, change or delay product purchase commitments with little or no notice to us and without penalty;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of our customers may have efforts underway to actively diversify their vendor base which could reduce purchases of our products;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of our customers have developed or acquired products that compete directly with products these customers purchase from us, which could affect our customers’ purchasing decisions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subject to increased inventory risks and costs because we build our products based on forecasts provided by customers before receiving purchase orders for the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Public health crises could adversely affect our business,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negatively impacted the global economy, disrupted our operations, global supply chains and the operations of our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impacts of any future public health crises on our business, customers, suppliers, employees, markets and financial results and condition are uncertain and dependent on numerous unpredictable factors outside of our control,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duration and impact of a global economic recession or depression that could reduce demand and/or pricing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Disruptions to our business and supply chain (and the business and supply chains of our customers) in connection with the sourcing of materials, equipment and engineering support, and services from geographic areas impacted by the public health crisis, including disruptions caused by illnesses, quarantines and restrictions on people’s ability to work, office and factory closures, disruptions to ports and other shipping infrastructure, border closures, and other travel or health-related restrictions;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Delays or limitations on the ability of our customers to make timely payments;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Governmental actions to limit exposure to and spreading of such infectious diseases, such as travel restrictions, quarantines and business shutdowns or slowdowns, facility closures or other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Deterioration of worldwide credit and financial markets that could limit our ability to obtain external financing to fund our operations and capital expenditures or to refinance our existing indebtedness;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asset impairments, including goodwill, intangible assets, investments and other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cyber-related risks due to hybrid working models and increased remote working;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with implementing and managing a hybrid model of working from home or the office, establishing appropriate office safety protocols, maintaining our corporate culture, and continuing to attract, retain and motivate our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failure of our computer systems or communication systems;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Investment-related risks, including difficulties in liquidating investments due to current market conditions and adverse investment performance.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decrease in sales resulting from any public health crisis will be offset by increased sales in subsequent periods. Even after any public health crisis has subsided, we may continue to experience materially adverse impacts to our business as a result of its global economic impact, including any recession, economic downturn or increased unemployment that has occurred or may occur in the future. An extended period of global supply chain and economic disruption could materially affect our business, results of operations, access to sources of liquidity and financial condition.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products are complex and may contain errors which could lead to liability, an increase in our costs and/or a reduction in our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customers require our products to undergo a lengthy and expensive qualification process without any assurance of product sales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subject to risks relating to product concentration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our revenues from a limited number of products, and we expect these products to continue to account for a large percentage of our revenues in the near term. Continued market acceptance of these products is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decline in demand for any of our more significant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of our products to achieve continued market acceptance;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Competitive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New technological standards or changes to existing standards that we are unable to address with our products;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failure to release new products or enhanced versions of our existing products on a timely basis;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failure of our new products to achieve market acceptance.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dispositions could harm our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disposition of a business or product line would entail a number of risks that could materially and adversely affect our business and operating results,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management’s time and attention from our core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separating the divested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to relations with customers who previously purchased products from our disposed product line;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Reduced leverage with suppliers due to reduced aggregate volume;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employee relations;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the disposition is not completed on the expected timeline, or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Risks associated with the transfer and licensing of intellectual property;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we do not realize the anticipated benefits from the disposition;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from third-party claims arising out of the disposition;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Security risks and other liabilities related to the transition services provided in connection with the disposition;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Tax issues associated with dispositions;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Disposition-related disputes, including disputes over earn-outs and escrows.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depend on our customers to support our products, and some of our customers offer competing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certain products, some of our customers offer their own competitive products. These customers may find it advantageous to support their own offerings in the marketplace in lieu of promoting or using our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the privacy and data security/protection laws could have an adverse effect on our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or may become subject to a variety of laws and regulations such as the European Union’s General Data Protection Regulation (“GDPR”) regarding privacy, data protection and data security.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The costs of compliance with the GDPR and similar laws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products must conform to industry standards and technology in order to be accepted by end users in our markets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relatively new and is continuously evolving. Furthermore, products in the IoT market frequently require interoperability across multiple standards. We may need to adjust our portfolio to meet the needs of this evolving market through acquisitions or significant new investments in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identified a material weakness in our internal control over financial reporting and if we are unable to implement and maintain effective internal control over financial reporting, or our independent registered public accounting firm is unable to provide an unqualified report thereon, we could be materially adversely effected</w:t>
      </w:r>
    </w:p>
    <w:p>
      <w:pPr>
        <w:pStyle w:val="TextBody"/>
        <w:bidi w:val="0"/>
        <w:spacing w:lineRule="auto" w:line="288" w:before="240" w:after="283"/>
        <w:jc w:val="left"/>
        <w:rPr/>
      </w:pPr>
      <w:r>
        <w:rPr>
          <w:rFonts w:ascii="Times New Roman;sans-serif" w:hAnsi="Times New Roman;sans-serif"/>
          <w:b w:val="false"/>
          <w:color w:val="000000"/>
          <w:sz w:val="20"/>
        </w:rPr>
        <w:t xml:space="preserve">As more fully disclosed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in our Annual Report on Form 10-K for the year ended December 30, 2023 filed with the SEC on February 20, 2024, we have identified a material weakness that existed as of the end of our fiscal 2023 regarding our internal controls over inventory valuation, primarily the undue reliance on forecasted inventory demand which was not subjected to a sufficient level of management review. As a result of this material weakness, management concluded that our disclosure controls and procedures and internal control over financial reporting were not effective as of December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and until this material weakness has been remediated, or should new material weaknesses arise or be discovered in the future, material misstatements could occur and go undetected in our interim or annual consolidated financial statements and we may be required to restate our financial statements. In addition, we may experience delays in satisfying our reporting obligations or to comply with SEC rules and regulations, which could result in investigations and sanctions by regulatory authorities. Any of these results could adversely affect our business and the value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Intellectual Property Risks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litigation over intellectual property in our industry may cause us to become involved in costly and lengthy litigation which could adversely affect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Cease using, selling or manufacturing certain products, services or processes;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Attempt to obtain a license, which license may require the payment of substantial royalties or may not be available on reasonable terms or at all;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Incur significant costs, time delays and lost business opportunities to develop alternative technologies or redesign products;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Pursue legal remedies with third parties to enforce our indemnification rights, which may not adequately protect our interests.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unable to protect our intellectual property, which would negatively affect our ability to compete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products incorporate technology licensed from third parties</w:t>
      </w:r>
    </w:p>
    <w:p>
      <w:pPr>
        <w:pStyle w:val="TextBody"/>
        <w:bidi w:val="0"/>
        <w:spacing w:lineRule="auto" w:line="288" w:before="240" w:after="283"/>
        <w:jc w:val="left"/>
        <w:rPr/>
      </w:pPr>
      <w:r>
        <w:rPr>
          <w:rFonts w:ascii="Times New Roman;sans-serif" w:hAnsi="Times New Roman;sans-serif"/>
          <w:b w:val="false"/>
          <w:color w:val="000000"/>
          <w:sz w:val="20"/>
        </w:rPr>
        <w:t xml:space="preserve">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See </w:t>
      </w:r>
      <w:r>
        <w:rPr>
          <w:rFonts w:ascii="Times New Roman;sans-serif" w:hAnsi="Times New Roman;sans-serif"/>
          <w:b w:val="false"/>
          <w:i/>
          <w:color w:val="000000"/>
          <w:sz w:val="20"/>
        </w:rPr>
        <w:t>Significant litigation over intellectual property in our industry may cause us to become involved in costly and lengthy litigation which could seriously harm our business.</w:t>
      </w:r>
      <w:r>
        <w:rPr>
          <w:color w:val="000000"/>
        </w:rPr>
        <w:t xml:space="preserve"> </w:t>
      </w:r>
      <w:r>
        <w:rPr>
          <w:rFonts w:ascii="Times New Roman;sans-serif" w:hAnsi="Times New Roman;sans-serif"/>
          <w:b w:val="false"/>
          <w:color w:val="000000"/>
          <w:sz w:val="20"/>
        </w:rPr>
        <w:t>Furthermore, any failure of third-party technology to perform properly would adversely affect sales of our products incorporating such technology.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 and Credit Risks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Disruptions in the financial services industry could adversely affect our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 in interest rates have led to a decline in the market value of debt securities issued with interest rates below current market interest rates. Sales of such securities prior to their maturity would result in the recognition of losses previously unrealized.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subject to credit risks related to our accounts receivable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borrowings under our credit agreement or other indebtedness could adversely affect our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If we breach any of the covenants under our credit facility and do not obtain appropriate waivers, then, subject to any applicable cure periods, any outstanding indebtedness thereunder could be declared immediately due and payable.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could seek to raise additional debt or equity capital in the future, but additional capital may not be available on terms acceptable to us, or at 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and Governance Risks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stock price may be volatile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been volatile in the past and may be volatile in the future. The market price of our common stock may be significantly affected by the following factors: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financial estimates by securities analysts or our failure to perform in line with such estimates;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market valuations of other technology companies, particularly semiconductor companies;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Introduction of technologies or product enhancements that reduce the need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loss of, or decrease in sales to, one or more key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large sale of stock by a significant shareholder;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Dilution from the issuance of our stock in connection with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addition or removal of our stock to or from a stock index fund;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stock market has experienced extreme volatility that often has been unrelated to the performance of particular companies. These market fluctuations may cause our stock price to fall regardless of our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Provisions in our charter documents and Delaware law could prevent, delay or impede a change in control of us and may reduce the market price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of our certificate of incorporation and bylaws could have the effect of discouraging, delaying or preventing a merger or acquisition that a stockholder may consider favorable. For example, our certificate of incorporation and bylaws provide for: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division of our Board of Directors into three classes to be elected on a staggered basis, one class each year;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Board of Directors to issue shares of our preferred stock in one or more series without further authorization of our stockholders;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prohibition on stockholder action by written consent;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Elimination of the right of stockholders to call a special meeting of stockholders;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requirement that stockholders provide advance notice of any stockholder nominations of directors or any proposal of new business to be considered at any meeting of stockholders;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requirement that a supermajority vote be obtained to amend or repeal certain provisions of our certificate of incorporation.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are subject to the anti-takeover laws of Delaware which may discourage, delay or prevent someone from acquiring or merging with us, which may adversely affect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of our common stock during the three months ended September 28,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share repurchase program authorizes repurchases up to $100 million through December 2024. The program allows for repurchases to be made in the open market or in private transactions, including structured or accelerated transactions, subject to applicable legal requirements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contracts, instructions or written plans for the purchase or sale of our securities intended to satisfy the affirmative defense conditions of Rule 10b5-1(c), nor were there any non-Rule 10b5-1 trading arrangements, entered into or terminated by our directors and officers (as defined under Rule 16b-1(f) of the Exchange Act) during the quarter ended September 28, 2024. </w:t>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2767"/>
        <w:gridCol w:w="2630"/>
        <w:gridCol w:w="3737"/>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Exhibit</w:t>
            </w:r>
          </w:p>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EE"/>
                  <w:sz w:val="18"/>
                  <w:u w:val="single"/>
                </w:rPr>
                <w:t>Asset Purchase Agreement dated April 22, 2021 between Silicon Laboratories Inc. and Skyworks Solutions, Inc. (filed as Exhibit 2.1 to the Form 8-K filed on April 22, 2021).</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EE"/>
                  <w:sz w:val="18"/>
                  <w:u w:val="single"/>
                </w:rPr>
                <w:t>Form of Fourth Amended and Restated Certificate of Incorporation of Silicon Laboratories Inc. (filed as Exhibit 3.1 to the Registration Statement on Form S-1 (Securities and Exchange Commission File No. 333-94853) (the “IPO Registration Statement”)).</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EE"/>
                  <w:sz w:val="18"/>
                  <w:u w:val="single"/>
                </w:rPr>
                <w:t>Sixth Amended and Restated Bylaws of Silicon Laboratories Inc. (filed as Exhibit 3.1 to the Form 8-K filed on April 21, 2023).</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EE"/>
                  <w:sz w:val="18"/>
                  <w:u w:val="single"/>
                </w:rPr>
                <w:t>Specimen certificate for shares of common stock (filed as Exhibit 4.1 to the IPO Registration Statement).</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40928xexx311.htm">
              <w:r>
                <w:rPr>
                  <w:rStyle w:val="InternetLink"/>
                  <w:rFonts w:ascii="Times New Roman;sans-serif" w:hAnsi="Times New Roman;sans-serif"/>
                  <w:b w:val="false"/>
                  <w:color w:val="0000EE"/>
                  <w:sz w:val="18"/>
                  <w:u w:val="single"/>
                </w:rPr>
                <w:t>Certification of the Principal Executive Officer, as required by Section 302 of the Sarbanes-Oxley Act of 2002.</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40928xexx312.htm">
              <w:r>
                <w:rPr>
                  <w:rStyle w:val="InternetLink"/>
                  <w:rFonts w:ascii="Times New Roman;sans-serif" w:hAnsi="Times New Roman;sans-serif"/>
                  <w:b w:val="false"/>
                  <w:color w:val="0000EE"/>
                  <w:sz w:val="18"/>
                  <w:u w:val="single"/>
                </w:rPr>
                <w:t>Certification of the Principal Financial Officer, as required by Section 302 of the Sarbanes-Oxley Act of 2002.</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ab-20240928xexx321.htm">
              <w:r>
                <w:rPr>
                  <w:rStyle w:val="InternetLink"/>
                  <w:rFonts w:ascii="Times New Roman;sans-serif" w:hAnsi="Times New Roman;sans-serif"/>
                  <w:b w:val="false"/>
                  <w:color w:val="0000EE"/>
                  <w:sz w:val="18"/>
                  <w:u w:val="single"/>
                </w:rPr>
                <w:t>Certification as required by Section 906 of the Sarbanes-Oxley Act of 2002.</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bidi w:val="0"/>
        <w:spacing w:lineRule="auto" w:line="288" w:before="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herein by reference to the indicated filing.</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ab9b4828c1f40298760f0fb8b450bf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782"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829"/>
        <w:gridCol w:w="829"/>
        <w:gridCol w:w="1177"/>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SILICON LABORATORIES INC.</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 Matthew Johnson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 Matthew Johnson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President and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Dean Butler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Dean Butler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D. Mauldin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D. Mauldin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Accounting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to the 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by Registrant’s Chief Executive Officer, as required by Section 302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R. Matthew Johnson,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Silicon Laboratories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bl>
      <w:tblPr>
        <w:tblW w:w="2397" w:type="dxa"/>
        <w:jc w:val="left"/>
        <w:tblInd w:w="0" w:type="dxa"/>
        <w:tblLayout w:type="fixed"/>
        <w:tblCellMar>
          <w:top w:w="28" w:type="dxa"/>
          <w:left w:w="28" w:type="dxa"/>
          <w:bottom w:w="28" w:type="dxa"/>
          <w:right w:w="28" w:type="dxa"/>
        </w:tblCellMar>
      </w:tblPr>
      <w:tblGrid>
        <w:gridCol w:w="732"/>
        <w:gridCol w:w="645"/>
        <w:gridCol w:w="648"/>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 Matthew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 Matthew Johnson</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President and </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to the 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by Registrant’s Chief Financial Officer, as required by Section 302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Dean Butler,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Silicon Laboratories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bl>
      <w:tblPr>
        <w:tblW w:w="2862" w:type="dxa"/>
        <w:jc w:val="center"/>
        <w:tblInd w:w="0" w:type="dxa"/>
        <w:tblLayout w:type="fixed"/>
        <w:tblCellMar>
          <w:top w:w="28" w:type="dxa"/>
          <w:left w:w="28" w:type="dxa"/>
          <w:bottom w:w="28" w:type="dxa"/>
          <w:right w:w="28" w:type="dxa"/>
        </w:tblCellMar>
      </w:tblPr>
      <w:tblGrid>
        <w:gridCol w:w="900"/>
        <w:gridCol w:w="793"/>
        <w:gridCol w:w="797"/>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Dean Butler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Dean Butler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Vice President and </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adopted pursuant to Section 906 of the Sarbanes-Oxley Act of 2002, each of the undersigned officers of Silicon Laboratories Inc. (the “Company”) hereby certifies that:</w:t>
      </w:r>
    </w:p>
    <w:p>
      <w:pPr>
        <w:pStyle w:val="TextBody"/>
        <w:bidi w:val="0"/>
        <w:spacing w:lineRule="auto" w:line="288" w:before="240" w:after="283"/>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accompanying Quarterly Report on Form 10-Q of the Company for the fiscal quarter ended September 28, 2024 as filed with the Securities and Exchange Commission (the “Report”) fully complies with the requirements of Section 13(a) or Section 15(d), as applicable, of the Securities Exchange Act of 1934, as amended; and</w:t>
      </w:r>
    </w:p>
    <w:p>
      <w:pPr>
        <w:pStyle w:val="TextBody"/>
        <w:bidi w:val="0"/>
        <w:spacing w:lineRule="auto" w:line="288" w:before="240" w:after="283"/>
        <w:jc w:val="left"/>
        <w:rPr/>
      </w:pPr>
      <w:r>
        <w:rPr>
          <w:rFonts w:ascii="Times New Roman;sans-serif" w:hAnsi="Times New Roman;sans-serif"/>
          <w:b w:val="false"/>
          <w:color w:val="000000"/>
          <w:sz w:val="20"/>
        </w:rPr>
        <w:t>(ii)</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bl>
      <w:tblPr>
        <w:tblW w:w="2397" w:type="dxa"/>
        <w:jc w:val="center"/>
        <w:tblInd w:w="0" w:type="dxa"/>
        <w:tblLayout w:type="fixed"/>
        <w:tblCellMar>
          <w:top w:w="28" w:type="dxa"/>
          <w:left w:w="28" w:type="dxa"/>
          <w:bottom w:w="28" w:type="dxa"/>
          <w:right w:w="28" w:type="dxa"/>
        </w:tblCellMar>
      </w:tblPr>
      <w:tblGrid>
        <w:gridCol w:w="732"/>
        <w:gridCol w:w="645"/>
        <w:gridCol w:w="648"/>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 Matthew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 Matthew Johnson</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President and </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66" w:type="dxa"/>
        <w:jc w:val="center"/>
        <w:tblInd w:w="0" w:type="dxa"/>
        <w:tblLayout w:type="fixed"/>
        <w:tblCellMar>
          <w:top w:w="28" w:type="dxa"/>
          <w:left w:w="28" w:type="dxa"/>
          <w:bottom w:w="28" w:type="dxa"/>
          <w:right w:w="28" w:type="dxa"/>
        </w:tblCellMar>
      </w:tblPr>
      <w:tblGrid>
        <w:gridCol w:w="829"/>
        <w:gridCol w:w="731"/>
        <w:gridCol w:w="734"/>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Dean Butler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Dean Butler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Vice President and </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8074/000110465921053826/tm2113472d1_ex2-1.htm" TargetMode="External"/><Relationship Id="rId3" Type="http://schemas.openxmlformats.org/officeDocument/2006/relationships/hyperlink" Target="https://www.sec.gov/Archives/edgar/data/1038074/0000912057-00-001536-index.html" TargetMode="External"/><Relationship Id="rId4" Type="http://schemas.openxmlformats.org/officeDocument/2006/relationships/hyperlink" Target="https://www.sec.gov/Archives/edgar/data/1038074/000110465923048435/tm2313328d2_ex3-1.htm" TargetMode="External"/><Relationship Id="rId5" Type="http://schemas.openxmlformats.org/officeDocument/2006/relationships/hyperlink" Target="https://www.sec.gov/Archives/edgar/data/1038074/0000912057-00-012321-index.html"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21970</Words>
  <Characters>124668</Characters>
  <CharactersWithSpaces>145284</CharactersWithSpaces>
  <Paragraphs>2112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