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5,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000-29823</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SILICON LABORATORIES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1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74-2793174</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1"/>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400 West Cesar Chavez, Austin, Texas</w:t>
            </w:r>
          </w:p>
        </w:tc>
        <w:tc>
          <w:tcPr>
            <w:tcW w:w="36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78701</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416-8500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3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SLAB</w:t>
            </w:r>
          </w:p>
        </w:tc>
        <w:tc>
          <w:tcPr>
            <w:tcW w:w="8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3" w:lineRule="exact"/>
        <w:rPr>
          <w:sz w:val="24"/>
          <w:szCs w:val="24"/>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p>
      <w:pPr>
        <w:ind w:left="20"/>
        <w:spacing w:after="0" w:line="173" w:lineRule="exact"/>
        <w:tabs>
          <w:tab w:leader="none" w:pos="2160" w:val="left"/>
          <w:tab w:leader="none" w:pos="3840" w:val="left"/>
          <w:tab w:leader="none" w:pos="6140" w:val="left"/>
          <w:tab w:leader="none" w:pos="866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pacing w:after="0" w:line="200" w:lineRule="exact"/>
        <w:rPr>
          <w:sz w:val="24"/>
          <w:szCs w:val="24"/>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jc w:val="right"/>
        <w:spacing w:after="0" w:line="207" w:lineRule="exact"/>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29, 2025, 32,815,310 shares of common stock of Silicon Laboratories Inc.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4"/>
        </w:trPr>
        <w:tc>
          <w:tcPr>
            <w:tcW w:w="103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00" w:type="dxa"/>
            <w:vAlign w:val="bottom"/>
          </w:tcPr>
          <w:p>
            <w:pPr>
              <w:spacing w:after="0"/>
              <w:rPr>
                <w:sz w:val="2"/>
                <w:szCs w:val="2"/>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7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8720" w:type="dxa"/>
            <w:vAlign w:val="bottom"/>
            <w:gridSpan w:val="24"/>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July 5, 2025 and December 28,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July 5, 2025 and June 29, 2024</w:t>
            </w:r>
          </w:p>
        </w:tc>
        <w:tc>
          <w:tcPr>
            <w:tcW w:w="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six months ended July 5, 2025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June 29, 2024</w:t>
            </w:r>
          </w:p>
        </w:tc>
        <w:tc>
          <w:tcPr>
            <w:tcW w:w="7000" w:type="dxa"/>
            <w:vAlign w:val="bottom"/>
            <w:tcBorders>
              <w:top w:val="single" w:sz="8" w:color="0000EE"/>
            </w:tcBorders>
            <w:gridSpan w:val="15"/>
          </w:tcPr>
          <w:p>
            <w:pPr>
              <w:spacing w:after="0"/>
              <w:rPr>
                <w:sz w:val="17"/>
                <w:szCs w:val="17"/>
                <w:color w:val="auto"/>
              </w:rPr>
            </w:pPr>
          </w:p>
        </w:tc>
        <w:tc>
          <w:tcPr>
            <w:tcW w:w="580" w:type="dxa"/>
            <w:vAlign w:val="bottom"/>
            <w:gridSpan w:val="3"/>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for the three and six months ended July 5,</w:t>
            </w:r>
          </w:p>
        </w:tc>
        <w:tc>
          <w:tcPr>
            <w:tcW w:w="420" w:type="dxa"/>
            <w:vAlign w:val="bottom"/>
            <w:gridSpan w:val="2"/>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2025 and June 29, 2024</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July 5, 2025 and June 29, 2024</w:t>
            </w:r>
          </w:p>
        </w:tc>
        <w:tc>
          <w:tcPr>
            <w:tcW w:w="9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72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4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6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46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36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80" w:type="dxa"/>
            <w:vAlign w:val="bottom"/>
            <w:gridSpan w:val="2"/>
          </w:tcPr>
          <w:p>
            <w:pPr>
              <w:spacing w:after="0"/>
              <w:rPr>
                <w:sz w:val="24"/>
                <w:szCs w:val="24"/>
                <w:color w:val="auto"/>
              </w:rPr>
            </w:pP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380" w:type="dxa"/>
            <w:vAlign w:val="bottom"/>
            <w:gridSpan w:val="1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80" w:type="dxa"/>
            <w:vAlign w:val="bottom"/>
            <w:gridSpan w:val="2"/>
          </w:tcPr>
          <w:p>
            <w:pPr>
              <w:spacing w:after="0"/>
              <w:rPr>
                <w:sz w:val="24"/>
                <w:szCs w:val="24"/>
                <w:color w:val="auto"/>
              </w:rPr>
            </w:pP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38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80" w:type="dxa"/>
            <w:vAlign w:val="bottom"/>
            <w:gridSpan w:val="2"/>
          </w:tcPr>
          <w:p>
            <w:pPr>
              <w:spacing w:after="0"/>
              <w:rPr>
                <w:sz w:val="24"/>
                <w:szCs w:val="24"/>
                <w:color w:val="auto"/>
              </w:rPr>
            </w:pPr>
          </w:p>
        </w:tc>
        <w:tc>
          <w:tcPr>
            <w:tcW w:w="2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5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696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580" w:type="dxa"/>
            <w:vAlign w:val="bottom"/>
            <w:gridSpan w:val="2"/>
          </w:tcPr>
          <w:p>
            <w:pPr>
              <w:spacing w:after="0"/>
              <w:rPr>
                <w:sz w:val="24"/>
                <w:szCs w:val="24"/>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12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Cautionary Statement</w:t>
      </w:r>
    </w:p>
    <w:p>
      <w:pPr>
        <w:spacing w:after="0" w:line="22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5,</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281,607</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and returns liability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81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 – $0.0001 par value; 250,000 shares authorized; 32,815 and 32,458 shares issued and</w:t>
            </w:r>
          </w:p>
        </w:tc>
        <w:tc>
          <w:tcPr>
            <w:tcW w:w="3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at July 5, 2025 and December 28, 2024, respectively</w:t>
            </w:r>
          </w:p>
        </w:tc>
        <w:tc>
          <w:tcPr>
            <w:tcW w:w="3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1,221,065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74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2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180" w:type="dxa"/>
            <w:vAlign w:val="bottom"/>
          </w:tcPr>
          <w:p>
            <w:pPr>
              <w:jc w:val="right"/>
              <w:ind w:right="392"/>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251,742</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120,090</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131,652</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166,559</w:t>
            </w:r>
          </w:p>
        </w:tc>
      </w:tr>
      <w:tr>
        <w:trPr>
          <w:trHeight w:val="25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72,248</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238,807</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(107,155)</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57"/>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36,278</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5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5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w:t>
            </w: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32,018</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60" w:type="dxa"/>
            <w:vAlign w:val="bottom"/>
          </w:tcPr>
          <w:p>
            <w:pPr>
              <w:spacing w:after="0"/>
              <w:rPr>
                <w:sz w:val="13"/>
                <w:szCs w:val="13"/>
                <w:color w:val="auto"/>
              </w:rPr>
            </w:pPr>
          </w:p>
        </w:tc>
        <w:tc>
          <w:tcPr>
            <w:tcW w:w="12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13"/>
                <w:szCs w:val="13"/>
                <w:color w:val="auto"/>
              </w:rPr>
            </w:pPr>
          </w:p>
        </w:tc>
        <w:tc>
          <w:tcPr>
            <w:tcW w:w="11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60" w:type="dxa"/>
            <w:vAlign w:val="bottom"/>
          </w:tcPr>
          <w:p>
            <w:pPr>
              <w:spacing w:after="0"/>
              <w:rPr>
                <w:sz w:val="13"/>
                <w:szCs w:val="13"/>
                <w:color w:val="auto"/>
              </w:rPr>
            </w:pPr>
          </w:p>
        </w:tc>
        <w:tc>
          <w:tcPr>
            <w:tcW w:w="1100" w:type="dxa"/>
            <w:vAlign w:val="bottom"/>
          </w:tcPr>
          <w:p>
            <w:pPr>
              <w:jc w:val="right"/>
              <w:ind w:right="333"/>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(138,683)</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loss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gains included in net loss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 related to items of other</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5, 2025</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5, 2025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96,838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1,068,419</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(21,817)</w:t>
            </w:r>
          </w:p>
        </w:tc>
      </w:tr>
      <w:tr>
        <w:trPr>
          <w:trHeight w:val="3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r>
      <w:tr>
        <w:trPr>
          <w:trHeight w:val="3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w:t>
            </w:r>
          </w:p>
        </w:tc>
      </w:tr>
      <w:tr>
        <w:trPr>
          <w:trHeight w:val="233"/>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as of July 5,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111,562</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949,434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1,061,080</w:t>
            </w:r>
          </w:p>
        </w:tc>
      </w:tr>
      <w:tr>
        <w:trPr>
          <w:trHeight w:val="24"/>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7"/>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30, 2024</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29,830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1,136,205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1,165,561</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(82,157)</w:t>
            </w:r>
          </w:p>
        </w:tc>
      </w:tr>
      <w:tr>
        <w:trPr>
          <w:trHeight w:val="33"/>
        </w:trPr>
        <w:tc>
          <w:tcPr>
            <w:tcW w:w="3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w:t>
            </w:r>
          </w:p>
        </w:tc>
      </w:tr>
      <w:tr>
        <w:trPr>
          <w:trHeight w:val="33"/>
        </w:trPr>
        <w:tc>
          <w:tcPr>
            <w:tcW w:w="3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15,799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15,799</w:t>
            </w:r>
          </w:p>
        </w:tc>
      </w:tr>
      <w:tr>
        <w:trPr>
          <w:trHeight w:val="23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June 29, 2024</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39,232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1,054,048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1,093,029</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14"/>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5, 2025</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90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7"/>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28, 2024</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1,080,021</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(52,287)</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39,468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39,468</w:t>
            </w:r>
          </w:p>
        </w:tc>
      </w:tr>
      <w:tr>
        <w:trPr>
          <w:trHeight w:val="23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July 5, 2025</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32,815</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111,562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949,434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1,061,080</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14"/>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09"/>
        </w:trPr>
        <w:tc>
          <w:tcPr>
            <w:tcW w:w="3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21"/>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2023</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1,208,682</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(138,683)</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9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0"/>
        </w:trPr>
        <w:tc>
          <w:tcPr>
            <w:tcW w:w="39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w:t>
            </w:r>
          </w:p>
        </w:tc>
      </w:tr>
      <w:tr>
        <w:trPr>
          <w:trHeight w:val="33"/>
        </w:trPr>
        <w:tc>
          <w:tcPr>
            <w:tcW w:w="3900" w:type="dxa"/>
            <w:vAlign w:val="bottom"/>
            <w:gridSpan w:val="4"/>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29,364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29,364</w:t>
            </w:r>
          </w:p>
        </w:tc>
      </w:tr>
      <w:tr>
        <w:trPr>
          <w:trHeight w:val="23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June 29, 2024</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39,232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1,054,048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1,093,029</w:t>
            </w:r>
          </w:p>
        </w:tc>
      </w:tr>
      <w:tr>
        <w:trPr>
          <w:trHeight w:val="23"/>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8"/>
        </w:trPr>
        <w:tc>
          <w:tcPr>
            <w:tcW w:w="774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774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(138,683)</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13,152</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12,160</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29,455</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29,784</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(11,918)</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28,123</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20,723</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(19,341)</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current liabilities and income taxes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 and returns liability</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53,036</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(55,666)</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34,538</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97,458</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(14,051)</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121,101</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10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taxes withheld for vested stock awards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(15,213)</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(52,105)</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w:t>
            </w:r>
          </w:p>
        </w:tc>
      </w:tr>
      <w:tr>
        <w:trPr>
          <w:trHeight w:val="33"/>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227,504</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314,459</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240,834</w:t>
            </w:r>
          </w:p>
        </w:tc>
      </w:tr>
      <w:tr>
        <w:trPr>
          <w:trHeight w:val="23"/>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loss, stockholders’ equity, and cash flows. The Condensed Consolidated Balance Sheet as of December 28, 2024 was derived from the Company’s audited Consolidated Financial Statements. All intercompany balances and transactions have been eliminated in consolidation. The condensed consolidated results of operations for the three and six months ended July 5, 2025 are not necessarily indicative of the results to be expected for the full year.</w:t>
      </w:r>
    </w:p>
    <w:p>
      <w:pPr>
        <w:spacing w:after="0" w:line="18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for the year ended December 28, 2024, included in the Company’s Annual Report on Form 10-K filed with the Securities and Exchange Commission (“SEC”) on February 4, 2025.</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Company prepares financial statements on a 52- or 53-week fiscal year that ends on the Saturday closest to December 31. Fiscal 2025 will have 53 weeks with the extra week occurring in the first quarter of the year. Fiscal 2024 had 52 weeks. In a 52-week year, each fiscal quarter consists of 13 weeks.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As the requirements of this ASU are disclosure-related, the adoption will not have an impact on the Company’s consolidated financial position and results of operations. The Company is currently evaluating the impact of this update on its income tax disclosures.</w:t>
      </w:r>
    </w:p>
    <w:p>
      <w:pPr>
        <w:spacing w:after="0" w:line="183"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that public business entities disclose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8"/>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60" w:type="dxa"/>
            <w:vAlign w:val="bottom"/>
          </w:tcPr>
          <w:p>
            <w:pPr>
              <w:spacing w:after="0"/>
              <w:rPr>
                <w:sz w:val="13"/>
                <w:szCs w:val="13"/>
                <w:color w:val="auto"/>
              </w:rPr>
            </w:pPr>
          </w:p>
        </w:tc>
        <w:tc>
          <w:tcPr>
            <w:tcW w:w="12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13"/>
                <w:szCs w:val="13"/>
                <w:color w:val="auto"/>
              </w:rPr>
            </w:pPr>
          </w:p>
        </w:tc>
        <w:tc>
          <w:tcPr>
            <w:tcW w:w="116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60" w:type="dxa"/>
            <w:vAlign w:val="bottom"/>
          </w:tcPr>
          <w:p>
            <w:pPr>
              <w:spacing w:after="0"/>
              <w:rPr>
                <w:sz w:val="13"/>
                <w:szCs w:val="13"/>
                <w:color w:val="auto"/>
              </w:rPr>
            </w:pPr>
          </w:p>
        </w:tc>
        <w:tc>
          <w:tcPr>
            <w:tcW w:w="1100" w:type="dxa"/>
            <w:vAlign w:val="bottom"/>
          </w:tcPr>
          <w:p>
            <w:pPr>
              <w:jc w:val="right"/>
              <w:ind w:right="335"/>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(138,683)</w:t>
            </w:r>
          </w:p>
        </w:tc>
      </w:tr>
      <w:tr>
        <w:trPr>
          <w:trHeight w:val="243"/>
        </w:trPr>
        <w:tc>
          <w:tcPr>
            <w:tcW w:w="5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w:t>
            </w:r>
          </w:p>
        </w:tc>
      </w:tr>
      <w:tr>
        <w:trPr>
          <w:trHeight w:val="257"/>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awards</w:t>
            </w:r>
          </w:p>
        </w:tc>
        <w:tc>
          <w:tcPr>
            <w:tcW w:w="3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bl>
    <w:p>
      <w:pPr>
        <w:spacing w:after="0" w:line="292"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Diluted shares for the three and six months ended July 5, 2025 excluded 0.2 million and 0.3 million shares, respectively, and for the three and six months ended June 29, 2024 excluded 0.3 million, and 0.3 million shares, respectively, as they were anti-dilutive due to the Company’s net loss for the periods.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Securities that were anti-dilutive due to the Company’s stock price and were excluded from the computation of diluted earnings per share for the three and six months ended July 5, 2025 were 0.8 million and 0.5 million, respectively, and for the three and six months ended June 29, 2024 were 0.6 million, and 0.5 million,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2 - Inputs other than Level 1 that are directly or indirectly observable, such as quoted prices for similar assets or liabilities and quoted prices in less active markets.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20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1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at July 5, 2025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22225</wp:posOffset>
            </wp:positionV>
            <wp:extent cx="2357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0" w:type="dxa"/>
            <w:vAlign w:val="bottom"/>
            <w:tcBorders>
              <w:bottom w:val="single" w:sz="8" w:color="auto"/>
            </w:tcBorders>
          </w:tcPr>
          <w:p>
            <w:pPr>
              <w:spacing w:after="0"/>
              <w:rPr>
                <w:sz w:val="21"/>
                <w:szCs w:val="21"/>
                <w:color w:val="auto"/>
              </w:rPr>
            </w:pPr>
          </w:p>
        </w:tc>
      </w:tr>
      <w:tr>
        <w:trPr>
          <w:trHeight w:val="25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0" w:type="dxa"/>
            <w:vAlign w:val="bottom"/>
            <w:shd w:val="clear" w:color="auto" w:fill="CCEEFF"/>
          </w:tcPr>
          <w:p>
            <w:pPr>
              <w:spacing w:after="0"/>
              <w:rPr>
                <w:sz w:val="22"/>
                <w:szCs w:val="22"/>
                <w:color w:val="auto"/>
              </w:rPr>
            </w:pPr>
          </w:p>
        </w:tc>
      </w:tr>
      <w:tr>
        <w:trPr>
          <w:trHeight w:val="257"/>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5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w:t>
            </w: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336,486</w:t>
            </w:r>
          </w:p>
        </w:tc>
        <w:tc>
          <w:tcPr>
            <w:tcW w:w="20" w:type="dxa"/>
            <w:vAlign w:val="bottom"/>
            <w:tcBorders>
              <w:bottom w:val="single" w:sz="8" w:color="auto"/>
            </w:tcBorders>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5"/>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December 28, 2024 Using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2"/>
                <w:szCs w:val="22"/>
                <w:color w:val="auto"/>
              </w:rPr>
            </w:pPr>
          </w:p>
        </w:tc>
      </w:tr>
      <w:tr>
        <w:trPr>
          <w:trHeight w:val="256"/>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20" w:type="dxa"/>
            <w:vAlign w:val="bottom"/>
          </w:tcPr>
          <w:p>
            <w:pPr>
              <w:spacing w:after="0"/>
              <w:rPr>
                <w:sz w:val="21"/>
                <w:szCs w:val="21"/>
                <w:color w:val="auto"/>
              </w:rPr>
            </w:pPr>
          </w:p>
        </w:tc>
      </w:tr>
      <w:tr>
        <w:trPr>
          <w:trHeight w:val="21"/>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methodology</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00" w:lineRule="exact"/>
        <w:rPr>
          <w:rFonts w:ascii="Times New Roman" w:cs="Times New Roman" w:eastAsia="Times New Roman" w:hAnsi="Times New Roman"/>
          <w:sz w:val="18"/>
          <w:szCs w:val="18"/>
          <w:b w:val="1"/>
          <w:bCs w:val="1"/>
          <w:color w:val="auto"/>
        </w:rPr>
      </w:pPr>
    </w:p>
    <w:p>
      <w:pPr>
        <w:spacing w:after="0" w:line="3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the components of available-for-sale investments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July 5, 2025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5"/>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100,676</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maturities of investments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available-for-sale investments are reported at fair value, with unrealized gains and losses, net of tax, recorded as a component of accumulated other comprehensive income in the Condensed Consolidated Balance Sheet. The following summarizes the contractual underlying maturities of the Company’s available-for-sale investments at July 5, 2025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4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66,163</w:t>
            </w:r>
          </w:p>
        </w:tc>
      </w:tr>
      <w:tr>
        <w:trPr>
          <w:trHeight w:val="25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34,918</w:t>
            </w: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Unrealized Gains and Losses</w:t>
      </w:r>
    </w:p>
    <w:p>
      <w:pPr>
        <w:spacing w:after="0" w:line="227"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July 5, 2025</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5"/>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5"/>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gross unrealized losses as of July 5, 2025 and December 28, 2024 were due primarily to changes in market interest rates. At July 5, 2025 and December 28, 2024, there were no material unrealized gains associated with the Company’s available-for-sale investments.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July 5, 2025, there were no material declines in the market value of available-for-sale investments due to credit-related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Derivative Financial Instruments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may use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may use foreign currency forward contracts to reduce the earnings impact that exchange rate fluctuations have on operating expenses denominated in currencies other than the U.S. dollar. Changes in the fair value of the contracts are recorded in accumulated other comprehensive income in the Condensed Consolidated Balance Sheet and subsequently reclassified into earnings in the period during which the hedged transaction was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Condensed Consolidated Statement of Operations based on an assessment of the contracts at the time of termination.</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foreign currency forward contracts for a portion of its forecasted operating expenses for the quarter ended July 5, 2025. As of July 5, 2025, the foreign currency forward contracts denominated in the Norwegian Krone had maturities of one to two months and an aggregate notional value of $1.6 million. The fair value of the contracts, contract gains or losses recognized in other comprehensive income (loss) and amounts reclassified from accumulated other comprehensive income into earnings were not material for any of the periods presented and are not expected to be material in the next twelve months.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The Company may use foreign currency forward contracts to reduce the earnings impact that exchange rate fluctuations have on non-U.S. dollar balance sheet exposures. The Company recognizes gains and losses on the foreign currency forward contracts in interest income and other, net in the Condensed Consolidated Statement of Operations. The Company does not apply hedge accounting to these foreign currency forward contracts.</w:t>
      </w:r>
    </w:p>
    <w:p>
      <w:pPr>
        <w:spacing w:after="0" w:line="15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July 5, 2025, the Company held foreign currency forward contracts denominated in Hungarian Forint with an aggregate notional value of $3.7 million. The fair value of the foreign currency forward contracts and contract gains and losses recognized in income were not material for any of the periods presented.</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foreign currency forward contracts, both designated and not designated as hedging instruments, are classified within Level 2 as the valuation inputs include foreign exchange rates, forward and spot prices for currencies, and market observable data of similar instruments.</w:t>
      </w:r>
    </w:p>
    <w:p>
      <w:pPr>
        <w:spacing w:after="0" w:line="15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details of selected Condensed Consolidated Balance Sheet items (in thousands):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5,</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8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64,922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15,949</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r>
      <w:tr>
        <w:trPr>
          <w:trHeight w:val="275"/>
        </w:trPr>
        <w:tc>
          <w:tcPr>
            <w:tcW w:w="78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80,871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income</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a portion of its headquarter facilities to other tenants. Lease income from operating leases was $0.5 million and $0.7 million during the three months ended July 5, 2025 and June 29, 2024, respectively, and $1.1 million and $1.5 million during the six months ended July 5, 2025 and June 29, 2024,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 (Continued)</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was granted a waiver of compliance for the minimum interest coverage ratio through October 4, 2025. As of July 5, 2025, the Company was in compliance with all covenants of the credit facility, including the minimum interest coverage ratio. The Company’s obligations under the credit facility are guaranteed by the Guarantors and are secured by a security interest in substantially all assets of the Company and the Guarantors. As of July 5, 2025, no amounts were outstanding on the credit facility.</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groups its products as Industrial &amp; Commercial or Home &amp; Life based on the target markets they address. The following represents revenue by product category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8"/>
        </w:trPr>
        <w:tc>
          <w:tcPr>
            <w:tcW w:w="4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20" w:type="dxa"/>
            <w:vAlign w:val="bottom"/>
          </w:tcPr>
          <w:p>
            <w:pPr>
              <w:spacing w:after="0"/>
              <w:rPr>
                <w:sz w:val="13"/>
                <w:szCs w:val="13"/>
                <w:color w:val="auto"/>
              </w:rPr>
            </w:pPr>
          </w:p>
        </w:tc>
        <w:tc>
          <w:tcPr>
            <w:tcW w:w="134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3"/>
                <w:szCs w:val="13"/>
                <w:color w:val="auto"/>
              </w:rPr>
            </w:pPr>
          </w:p>
        </w:tc>
        <w:tc>
          <w:tcPr>
            <w:tcW w:w="134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520" w:type="dxa"/>
            <w:vAlign w:val="bottom"/>
          </w:tcPr>
          <w:p>
            <w:pPr>
              <w:spacing w:after="0"/>
              <w:rPr>
                <w:sz w:val="13"/>
                <w:szCs w:val="13"/>
                <w:color w:val="auto"/>
              </w:rPr>
            </w:pPr>
          </w:p>
        </w:tc>
        <w:tc>
          <w:tcPr>
            <w:tcW w:w="1060" w:type="dxa"/>
            <w:vAlign w:val="bottom"/>
          </w:tcPr>
          <w:p>
            <w:pPr>
              <w:jc w:val="right"/>
              <w:ind w:right="457"/>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153,345</w:t>
            </w:r>
          </w:p>
        </w:tc>
      </w:tr>
      <w:tr>
        <w:trPr>
          <w:trHeight w:val="25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164,796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98,397</w:t>
            </w:r>
          </w:p>
        </w:tc>
      </w:tr>
      <w:tr>
        <w:trPr>
          <w:trHeight w:val="275"/>
        </w:trPr>
        <w:tc>
          <w:tcPr>
            <w:tcW w:w="46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and/or price protection related to the final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price to the end customers. These factors impact the timing and uncertainty of revenues and cash flows. During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2025 and June 29, 2024, the impact of revenue related to performance obligations that were satisfied in previous reporting periods was insignificant.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disaggregates the Company’s revenue by sales channel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8"/>
        </w:trPr>
        <w:tc>
          <w:tcPr>
            <w:tcW w:w="4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20" w:type="dxa"/>
            <w:vAlign w:val="bottom"/>
          </w:tcPr>
          <w:p>
            <w:pPr>
              <w:spacing w:after="0"/>
              <w:rPr>
                <w:sz w:val="13"/>
                <w:szCs w:val="13"/>
                <w:color w:val="auto"/>
              </w:rPr>
            </w:pPr>
          </w:p>
        </w:tc>
        <w:tc>
          <w:tcPr>
            <w:tcW w:w="136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3"/>
                <w:szCs w:val="13"/>
                <w:color w:val="auto"/>
              </w:rPr>
            </w:pPr>
          </w:p>
        </w:tc>
        <w:tc>
          <w:tcPr>
            <w:tcW w:w="132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520" w:type="dxa"/>
            <w:vAlign w:val="bottom"/>
          </w:tcPr>
          <w:p>
            <w:pPr>
              <w:spacing w:after="0"/>
              <w:rPr>
                <w:sz w:val="13"/>
                <w:szCs w:val="13"/>
                <w:color w:val="auto"/>
              </w:rPr>
            </w:pPr>
          </w:p>
        </w:tc>
        <w:tc>
          <w:tcPr>
            <w:tcW w:w="1060" w:type="dxa"/>
            <w:vAlign w:val="bottom"/>
          </w:tcPr>
          <w:p>
            <w:pPr>
              <w:jc w:val="right"/>
              <w:ind w:right="457"/>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170,290</w:t>
            </w:r>
          </w:p>
        </w:tc>
      </w:tr>
      <w:tr>
        <w:trPr>
          <w:trHeight w:val="250"/>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Direct customers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119,932</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81,452</w:t>
            </w:r>
          </w:p>
        </w:tc>
      </w:tr>
      <w:tr>
        <w:trPr>
          <w:trHeight w:val="275"/>
        </w:trPr>
        <w:tc>
          <w:tcPr>
            <w:tcW w:w="4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values on the date of grant for stock awards and stock options and on the date of enrollment for the employee stock purchase plans. The fair values of stock awards (such as restricted stock units (“RSUs”) and performance stock units (“PSUs”)) are estimated based on their intrinsic values. The fair values of market stock awards (“MSUs”) are estimated using a Monte Carlo simulation. The fair values of stock options and rights under the Company’s Employee Stock Purchase Plan are estimated using the Black-Scholes option-pricing model.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Condensed Consolidated Statements of Operations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8"/>
        </w:trPr>
        <w:tc>
          <w:tcPr>
            <w:tcW w:w="4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20" w:type="dxa"/>
            <w:vAlign w:val="bottom"/>
          </w:tcPr>
          <w:p>
            <w:pPr>
              <w:spacing w:after="0"/>
              <w:rPr>
                <w:sz w:val="13"/>
                <w:szCs w:val="13"/>
                <w:color w:val="auto"/>
              </w:rPr>
            </w:pPr>
          </w:p>
        </w:tc>
        <w:tc>
          <w:tcPr>
            <w:tcW w:w="134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60" w:type="dxa"/>
            <w:vAlign w:val="bottom"/>
          </w:tcPr>
          <w:p>
            <w:pPr>
              <w:spacing w:after="0"/>
              <w:rPr>
                <w:sz w:val="13"/>
                <w:szCs w:val="13"/>
                <w:color w:val="auto"/>
              </w:rPr>
            </w:pPr>
          </w:p>
        </w:tc>
        <w:tc>
          <w:tcPr>
            <w:tcW w:w="132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520" w:type="dxa"/>
            <w:vAlign w:val="bottom"/>
          </w:tcPr>
          <w:p>
            <w:pPr>
              <w:spacing w:after="0"/>
              <w:rPr>
                <w:sz w:val="13"/>
                <w:szCs w:val="13"/>
                <w:color w:val="auto"/>
              </w:rPr>
            </w:pPr>
          </w:p>
        </w:tc>
        <w:tc>
          <w:tcPr>
            <w:tcW w:w="1060" w:type="dxa"/>
            <w:vAlign w:val="bottom"/>
          </w:tcPr>
          <w:p>
            <w:pPr>
              <w:jc w:val="right"/>
              <w:ind w:right="455"/>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19,939</w:t>
            </w: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r>
      <w:tr>
        <w:trPr>
          <w:trHeight w:val="250"/>
        </w:trPr>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29,455</w:t>
            </w: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5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34,642</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25,653</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had approximately $131.3 million of total unrecognized compensation cost related to equity grants as of July 5, 2025 that is expected to be recognized over a weighted-average period of approximately 2.3 years.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deemed foreign income inclusions, change in the valuation allowance, and other permanent differences.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was $2.5 million and $36.7 million for the three months ended July 5, 2025 and June 29, 2024, resulting in effective tax rates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(13.1)% and (80.6)%, respectively. Income tax expense was $4.4 million and $36.3 million for the six months ended July 5, 2025 and June 29, 2024, resulting in effective tax rates of (9.3)% and (35.4)%, respectively. The decrease in the provision for income taxes for the three and six months ended July 5, 2025 is primarily due to a decrease in tax expense related to the valuation allowance in the three and six months ended July 5, 2025 in comparison with the three and six months ended June 29, 2024. During the three months ended June 29, 2024, the Company incurred significant tax expense to record a valuation allowance in the U.S. and Singapore due to a three-year cumulative pre-tax loss in conjunction with the downturn in the semiconductor industry. The Company intends to maintain the valuation allowance until its ability to forecast sufficient future sources of taxable income is reestablished.</w:t>
      </w:r>
    </w:p>
    <w:p>
      <w:pPr>
        <w:spacing w:after="0" w:line="190" w:lineRule="exact"/>
        <w:rPr>
          <w:sz w:val="20"/>
          <w:szCs w:val="20"/>
          <w:color w:val="auto"/>
        </w:rPr>
      </w:pPr>
    </w:p>
    <w:p>
      <w:pPr>
        <w:ind w:right="200" w:firstLine="324"/>
        <w:spacing w:after="0" w:line="246" w:lineRule="auto"/>
        <w:rPr>
          <w:sz w:val="20"/>
          <w:szCs w:val="20"/>
          <w:color w:val="auto"/>
        </w:rPr>
      </w:pPr>
      <w:r>
        <w:rPr>
          <w:rFonts w:ascii="Times New Roman" w:cs="Times New Roman" w:eastAsia="Times New Roman" w:hAnsi="Times New Roman"/>
          <w:sz w:val="18"/>
          <w:szCs w:val="18"/>
          <w:color w:val="auto"/>
        </w:rPr>
        <w:t>On July 4, 2025, the U.S. government enacted tax legislation commonly referred to as the One Big Beautiful Bill Act (the “OBBBA”). The OBBBA extends and/or modifies many provisions first enacted via the Tax Cuts and Jobs Act (“TCJA”) in 2017, as well as introduces new modifications to U.S. federal tax law. Beginning with the 2025 tax year, the OBBBA permanently restores current deductibility for U.S. research and experimental (“R&amp;E”) expenditures. A number of other provisions of the OBBBA will not take effect until the 2026 tax year, including various changes to existing international tax provisions.</w:t>
      </w:r>
    </w:p>
    <w:p>
      <w:pPr>
        <w:spacing w:after="0" w:line="208"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its initial analysis of the OBBBA, the Company determined that its forecasted annual effective tax rate for the current year decreased, primarily due to U.S. R&amp;E expenditures no longer being capitalized within net controlled foreign corporation tested income (formerly known as global intangible low-taxed income or “GILTI”), which the Company has elected to treat as a period cost. The Company did not identify any material discrete tax impacts related to beginning-of-the-year deferred tax assets and liabilities or valuation allowances due to the enactment of the OBBBA.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July 5, 2025, the Company had gross unrecognized tax benefits, inclusive of interest, of $5.7 million, of which $3.6 million would affect the effective tax rate if recognized. During the six months ended July 5, 2025, the Company did not release any unrecognized tax benefits.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Tax years 2019 through 2025 remain open to examination by the major taxing jurisdictions in which the Company operates. The Company’s 2022 tax year is currently under examination in the U.S., and the Company’s 2021 through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tax years are currently under examination in India. Although the outcome of tax audits is always uncertain, the Company believes that the results of these examinations will not materially impact its financial position or results of operations. The Company is not currently under audit in any other major taxing jurisdiction.</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will decrease by approximately $1.8 million, inclusive of interest, in the next 12 months due to the lapse of the statute of limitations.</w:t>
      </w:r>
    </w:p>
    <w:p>
      <w:pPr>
        <w:spacing w:after="0" w:line="17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mixed-signal analog intensive products, consisting of numerous product areas. The Company’s chief operating decision maker (“CODM”) assesses performance for the operating segment and decides how to allocate resources based on net income (loss) that is also reported on the Condensed Consolidated Statement of Operations as Net loss. The measure of segment assets is reported on the Condensed Consolidated Balance Sheets as Total assets.</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Revenue is attributed to a geographic area based on the shipped-to location. The following summarizes the Company’s revenue by geographic area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74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4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2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18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75,540</w:t>
            </w:r>
          </w:p>
        </w:tc>
      </w:tr>
      <w:tr>
        <w:trPr>
          <w:trHeight w:val="26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30,755</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129,378</w:t>
            </w:r>
          </w:p>
        </w:tc>
      </w:tr>
      <w:tr>
        <w:trPr>
          <w:trHeight w:val="28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251,742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expense categories regularly provided to the CODM, in addition to the expense categories included within net loss presented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 of Operations,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74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2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20" w:type="dxa"/>
            <w:vAlign w:val="bottom"/>
          </w:tcPr>
          <w:p>
            <w:pPr>
              <w:spacing w:after="0"/>
              <w:rPr>
                <w:sz w:val="13"/>
                <w:szCs w:val="13"/>
                <w:color w:val="auto"/>
              </w:rPr>
            </w:pPr>
          </w:p>
        </w:tc>
        <w:tc>
          <w:tcPr>
            <w:tcW w:w="12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300" w:type="dxa"/>
            <w:vAlign w:val="bottom"/>
          </w:tcPr>
          <w:p>
            <w:pPr>
              <w:spacing w:after="0"/>
              <w:rPr>
                <w:sz w:val="13"/>
                <w:szCs w:val="13"/>
                <w:color w:val="auto"/>
              </w:rPr>
            </w:pPr>
          </w:p>
        </w:tc>
        <w:tc>
          <w:tcPr>
            <w:tcW w:w="118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60,414</w:t>
            </w:r>
          </w:p>
        </w:tc>
      </w:tr>
      <w:tr>
        <w:trPr>
          <w:trHeight w:val="257"/>
        </w:trPr>
        <w:tc>
          <w:tcPr>
            <w:tcW w:w="504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research and development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176,040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w:t>
            </w:r>
          </w:p>
        </w:tc>
      </w:tr>
      <w:tr>
        <w:trPr>
          <w:trHeight w:val="256"/>
        </w:trPr>
        <w:tc>
          <w:tcPr>
            <w:tcW w:w="5040" w:type="dxa"/>
            <w:vAlign w:val="bottom"/>
            <w:tcBorders>
              <w:bottom w:val="single" w:sz="8" w:color="CCEEFF"/>
            </w:tcBorders>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selling, general and administrative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46,481</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620" w:hanging="8"/>
        <w:spacing w:after="0" w:line="242" w:lineRule="auto"/>
        <w:tabs>
          <w:tab w:leader="none" w:pos="505"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research and development and selling, general and administrative expenses include other personnel-related expenses, outside services, software expense, depreciation and amortization of intangible assets, and other expenses.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property and equipment, net by geographic area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5,</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r>
      <w:tr>
        <w:trPr>
          <w:trHeight w:val="25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82"/>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2025 will have 53 weeks with the extra week occurring in the first quarter of the year. Fiscal 2024 had 52 weeks. Our second quarter of fiscal 2025 ended July 5, 2025 and our second quarter of fiscal 2024 ended June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 global economic environment has experienced inflationary pressure, high interest rates, and geopolitical tension, and we have experienced declines in revenues as our customers slowed purchases to reduce existing inventories in response to a softening market. There continues to be uncertainty regarding international trade relations and trade policy, including those related to tariffs. The situation concerning the imposition of additional tariffs and trade restrictions by the U.S. and other jurisdictions continues to evolve, and we cannot be certain of the outcome, which could adversely impact demand for our products, costs, customers, suppliers, and general economic conditions. Additionally, continued geopolitical instability, including the ongoing war in Ukraine and conflicts in the Middle East, as well as the risk of inflation, slower GDP growth, or recession, and the weakening U.S. dollar, have added to the uncertainty. The extent of the impact of the macroeconomic and geopolitical environment on our operational and financial performance will depend on future developments, which are uncertain, but could materially affect our business, results of operations, access to sources of liquidity, and financial condition. See the section entitled "Risk Factors” in Part II, Item 1A of the Form 10-Q for further discussion.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integrated circuit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$47.5 million in the recent quarter compared to the second quarter of fiscal 2024 due to increased revenues from our Home &amp; Life products and our Industrial &amp; Commercial products. Gross profit increased $31.5 million during the same period primarily as a result of the increase in revenues. Gross margin increased to 56.1% in the recent quarter compared to 52.7% in the second quarter of fiscal 2024 as our indirect and overhead expenses decreased as a percentage of revenues. Operating expenses increased by $6.4 million in the recent quarter compared to the second quarter of fiscal 2024 primarily due to higher personnel-related costs. Operating loss in the recent quarter was $22.9 million compared to operating loss of $48.0 million in the second quarter of fiscal 2024. Refer to “Results of Operations” below for further discussion.</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ended the second quarter of fiscal 2025 with $415.5 million in cash, cash equivalents, and short-term investments. Net cash provided by operating activities was $53.0 million during the current year six-month period. Accounts receivable were $56.5 million at July 5, 2025, representing 26 days sales outstanding (“DSO”). Inventory was $80.9 million at July 5, 2025, representing 86 days of inventory (“DOI”).</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July 5, 2025,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six months ended July 5, 2025.</w:t>
      </w:r>
    </w:p>
    <w:p>
      <w:pPr>
        <w:spacing w:after="0" w:line="18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89% during the six months ended July 5, 2025. All of our revenues to date have been denominated in U.S. dollars. We believe that a majority of our revenues will continue to be derived from customers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Condensed Consolidated Statements of Operations: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Our revenues are subject to variation from period to period due to the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shipments made within a period, the mix of products we sell, and the prices we charge for our products.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amortization of intangible assets, professional fees, legal fees, and promotional and marketing expenses.</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consists of interest on our short and long-term obligations, our credit facility, and amortization of debt issuance costs.</w:t>
      </w:r>
    </w:p>
    <w:p>
      <w:pPr>
        <w:spacing w:after="0" w:line="22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 xml:space="preserve">Provision for income taxes includes both domestic and foreign income taxes at the applicable tax rates adjusted for non-deductible expenses, research and development tax credits, deemed foreign income inclusions, and other permanent differences. See Note 10,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to the Condensed Consolidated Financial Statements.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as a percentage of revenues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00" w:type="dxa"/>
            <w:vAlign w:val="bottom"/>
          </w:tcPr>
          <w:p>
            <w:pPr>
              <w:spacing w:after="0"/>
              <w:rPr>
                <w:sz w:val="13"/>
                <w:szCs w:val="13"/>
                <w:color w:val="auto"/>
              </w:rPr>
            </w:pPr>
          </w:p>
        </w:tc>
        <w:tc>
          <w:tcPr>
            <w:tcW w:w="2020" w:type="dxa"/>
            <w:vAlign w:val="bottom"/>
            <w:gridSpan w:val="7"/>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20" w:type="dxa"/>
            <w:vAlign w:val="bottom"/>
          </w:tcPr>
          <w:p>
            <w:pPr>
              <w:spacing w:after="0"/>
              <w:rPr>
                <w:sz w:val="13"/>
                <w:szCs w:val="13"/>
                <w:color w:val="auto"/>
              </w:rPr>
            </w:pPr>
          </w:p>
        </w:tc>
        <w:tc>
          <w:tcPr>
            <w:tcW w:w="10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5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57"/>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6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2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57"/>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4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80" w:type="dxa"/>
            <w:vAlign w:val="bottom"/>
          </w:tcPr>
          <w:p>
            <w:pPr>
              <w:spacing w:after="0"/>
              <w:rPr>
                <w:sz w:val="13"/>
                <w:szCs w:val="13"/>
                <w:color w:val="auto"/>
              </w:rPr>
            </w:pPr>
          </w:p>
        </w:tc>
        <w:tc>
          <w:tcPr>
            <w:tcW w:w="1100" w:type="dxa"/>
            <w:vAlign w:val="bottom"/>
            <w:gridSpan w:val="3"/>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4"/>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20" w:type="dxa"/>
            <w:vAlign w:val="bottom"/>
          </w:tcPr>
          <w:p>
            <w:pPr>
              <w:spacing w:after="0"/>
              <w:rPr>
                <w:sz w:val="13"/>
                <w:szCs w:val="13"/>
                <w:color w:val="auto"/>
              </w:rPr>
            </w:pPr>
          </w:p>
        </w:tc>
        <w:tc>
          <w:tcPr>
            <w:tcW w:w="10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3"/>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8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24.6 %</w:t>
            </w:r>
          </w:p>
        </w:tc>
        <w:tc>
          <w:tcPr>
            <w:tcW w:w="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32.7 %</w:t>
            </w:r>
          </w:p>
        </w:tc>
        <w:tc>
          <w:tcPr>
            <w:tcW w:w="3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increase in revenues in the recent three-month period was due to increased revenues of $21.7 million from our Industrial &amp; Commercial products and increased revenues of $25.8 million from our Home &amp; Life products. The increase in revenues in the recent six-month period was due to increased revenues of $52.5 million from our Industrial &amp; Commercial products and increased revenues of $66.4 million from our Home &amp; Life products. Revenues increased in the recent three and six-month periods as a result of increases in unit volumes and average selling prices of our products, as the current demand environment has improved relative to the prior year, which was impacted by customers reducing inventory levels relative to amounts they held during the period of widespread supply chain disruptions. The average selling prices of our products may fluctuate significantly from period to period due to changes in product mix, pricing decisions and other factors. In general, as our products become more mature, we expect to experience decreases in average selling prices.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8"/>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74.2</w:t>
            </w:r>
          </w:p>
        </w:tc>
      </w:tr>
      <w:tr>
        <w:trPr>
          <w:trHeight w:val="24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52.7 %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increased during the recent three and six-month period primarily as a result of increases in revenues in the periods. Gross margin increased as our indirect and overhead expenses decreased as a percentage of revenues in the recent three and six-month period as a result of the increase in revenues.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8"/>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jc w:val="right"/>
              <w:ind w:right="30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20" w:type="dxa"/>
            <w:vAlign w:val="bottom"/>
          </w:tcPr>
          <w:p>
            <w:pPr>
              <w:spacing w:after="0"/>
              <w:rPr>
                <w:sz w:val="13"/>
                <w:szCs w:val="13"/>
                <w:color w:val="auto"/>
              </w:rPr>
            </w:pPr>
          </w:p>
        </w:tc>
        <w:tc>
          <w:tcPr>
            <w:tcW w:w="11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0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2.2 %  $</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6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59.1 %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9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 the recent three-month period increased, with an increase of $8.5 million for personnel-related costs as a result of lower expenses in the prior year period due to cost containment measures, partially offset by $2.5 million of government incentives, and decreases for amortization of intangible assets and new product introduction and software expense of $2.7 million and $1.3 million respectively. Research and development expense in the recent six-month period increased $20.6 million for personnel-related costs as a result of lower expenses in the prior year period due to cost containment measures, offset by $5.2 million of government incentives and decreases of $3.3 million for amortization of intangible assets and $2.3 million for new product introduction and software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36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22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24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11.6 %  $</w:t>
            </w:r>
          </w:p>
        </w:tc>
        <w:tc>
          <w:tcPr>
            <w:tcW w:w="9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6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The increase in selling, general and administrative expense in the recent three-month period was primarily due to a $3.9 million increase in personnel-related costs as a result of lower expenses in the prior year period due to cost containment measures and a $0.5 million increase in IT-related costs. The increase in selling, general and administrative expense in the recent six-month period was primarily due to a $11.8 million increase in personnel-related costs as a result of lower expenses in the prior year period due to cost containment measures and a $0.8 million increase in outside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income and other, net for the three and six months ended July 5, 2025 was $3.8 million and $7.6 million respectively, compared to $2.8 million and $5.5 million for the three and six months ended June 29, 2024,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and other, net in the recent three and six-month period was primarily due to a higher cash and cash equivalents balance in the current year period as compared to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three and six months ended July 5, 2025 was $0.3 million and $0.5 million, respectively, compared to $0.3 million and $0.8 million for the three and six months ended June 29, 2024, respectively. The decrease in the recent six-month period was primarily due to a balance outstanding on the revolving credit facility for a portion of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center"/>
              <w:ind w:right="179"/>
              <w:spacing w:after="0" w:line="158" w:lineRule="exact"/>
              <w:rPr>
                <w:sz w:val="20"/>
                <w:szCs w:val="20"/>
                <w:color w:val="auto"/>
              </w:rPr>
            </w:pPr>
            <w:r>
              <w:rPr>
                <w:rFonts w:ascii="Times New Roman" w:cs="Times New Roman" w:eastAsia="Times New Roman" w:hAnsi="Times New Roman"/>
                <w:sz w:val="14"/>
                <w:szCs w:val="14"/>
                <w:b w:val="1"/>
                <w:bCs w:val="1"/>
                <w:color w:val="auto"/>
              </w:rPr>
              <w:t>July 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30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decrease in the provision for income taxes for the three and six months ended July 5, 2025 is primarily due to a decrease in tax expense related to the U.S. and Singapore valuation allowance in the three and six months ended July 5, 2025 in comparison with the three and six months ended June 29, 2024. Because of the valuation allowance, we are unable to recognize the full tax benefit of the pre-tax losses incurred in those jurisdictions in the current year. A valuation allowance is required to be established when it is more likely than not that some portion or all of a deferred tax asset will not be realized. We identified a need for the valuation allowance due to the presence of significant negative evidence, including recent operating losses and uncertainty around the timing of recovery in economic conditions within both the semiconductor industry and the broader economy. We intend to maintain the valuation allowance until our ability to forecast sufficient future sources of taxable income is reestablished.</w:t>
      </w:r>
    </w:p>
    <w:p>
      <w:pPr>
        <w:spacing w:after="0" w:line="189" w:lineRule="exact"/>
        <w:rPr>
          <w:sz w:val="20"/>
          <w:szCs w:val="20"/>
          <w:color w:val="auto"/>
        </w:rPr>
      </w:pPr>
    </w:p>
    <w:p>
      <w:pPr>
        <w:ind w:right="120" w:firstLine="324"/>
        <w:spacing w:after="0" w:line="246" w:lineRule="auto"/>
        <w:rPr>
          <w:sz w:val="20"/>
          <w:szCs w:val="20"/>
          <w:color w:val="auto"/>
        </w:rPr>
      </w:pPr>
      <w:r>
        <w:rPr>
          <w:rFonts w:ascii="Times New Roman" w:cs="Times New Roman" w:eastAsia="Times New Roman" w:hAnsi="Times New Roman"/>
          <w:sz w:val="18"/>
          <w:szCs w:val="18"/>
          <w:color w:val="auto"/>
        </w:rPr>
        <w:t>On July 4, 2025, the U.S. government enacted tax legislation commonly referred to as the One Big Beautiful Bill Act (the “OBBBA”). The OBBBA extends and/or modifies many provisions first enacted via the Tax Cuts and Jobs Act in 2017, as well as introduces new modifications to U.S. federal tax law. Some provisions are effective for the 2025 tax year while others will become effective in 2026. In our initial analysis of the OBBBA, we determined that it decreased our forecasted annual effective tax rate for the current year, primarily due to U.S. research and experimental expenditures no longer being capitalized within net controlled foreign corporation tested income (formerly known as global intangible low-taxed income or “GILTI”), which the Company has elected to treat as a period cost</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as of July 5, 2025 consisted of $415.5 million in cash, cash equivalents and short-term investments, of which $195.7 million was held by our U.S. entities. The remaining balance was held by our foreign subsidiaries. Our cash equivalents and short-term investments consisted of government debt securities, which include U.S. government securities; corporate debt securities, which include asset-backed securities; and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$53.0 million during the six months ended July 5, 2025, compared to net cash used of $55.7 million during the six months ended June 29, 2024. Operating cash flows during the six months ended July 5, 2025 reflect our net loss of $52.3 million, adjustments of $62.6 million for depreciation, amortization, stock-based compensation, and deferred income taxes, and a net cash inflow of $42.7 million due to changes in our operating assets and liabilities.</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increased to $56.5 million at July 5, 2025 from $54.5 million at December 28, 2024. The increase in accounts receivable resulted primarily from normal variations in the timing of collections and billings. Our DSO decreased to 26 days at July 5, 2025 from 29 days at December 28, 2024.</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Inventory decreased to $80.9 million at July 5, 2025 from $105.6 million at December 28, 2024. Our inventory levels will vary based on the availability of supply and the impact of variations between forecasted demand used for purchasing inventory and actual demand. Our DOI was 86 days at July 5, 2025 and 125 days at December 28,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$14.1 million during the six months ended July 5, 2025, compared to net cash provided of $121.1 million during the six months ended June 29, 2024. The decrease in cash inflows was principally due to a decrease in cash provided by net purchases, sales, and maturities of marketable securities of $114.8 million in the current period, and proceeds received in the prior year of $12.4 million for the sale of an equity investment. Purchases of property and equipment increased $8.0 million during the six months ended July 5, 2025 compared to the six months ended June 29,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$6.1 million during the six months ended July 5, 2025, compared to $52.1 million during the six months ended June 29, 2024. The decrease in cash outflows was principally due to a $45.0 million repayment of borrowings under the revolving credit facility in the prior year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July 5, 2025,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The credit facility contains various conditions, covenants, and representations with which we must be in compliance in order to borrow funds, including financial covenants that we must maintain a consolidated net leverage ratio (funded indebtedness less cash and cash equivalents up to $750 million and divided by EBITDA) of no more than 4.25 to 1, and a minimum interest coverage ratio (EBITDA/interest payments) of no less than 2.50 to 1. We were granted a waiver of compliance for the minimum interest coverage ratio through October 4, 2025. As of July 5, 2025, we were in compliance with all of the covenants and no amounts were outstanding on the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are described in the Management’s Discussion and Analysis of Financial Condition and Results of Operations section of our Form 10-K for the fiscal year ended December 28, 2024. There have been no material subsequent changes to our critical accounting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July 5, 2025 would decrease our future annual interest income by approximately $3.4 million. We believe that our investment policy, which defines the duration, concentration, and minimum credit quality of the allowable investments, meets our investment objectives.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the credit facility in the past, we have no borrowings as of July 5, 2025. If we borrow from the credit facility in the future, we will again be exposed to interest rate fluctuations.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may use foreign currency forward contracts to manage exposure to foreign exchange risk. Gains and losses on foreign currency forward contracts designated as hedging instruments are recognized in earnings in the same period during which the hedged transaction is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www.silabs.com. Our annual report on Form 10-K, quarterly reports on Form 10-Q, current reports on Form 8-K and amendments to those reports filed or furnished pursuant to Section 13(a) or 15(d) of the Securities Exchange Act of 1934, as amended,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July 5, 2025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controls during the fiscal quarter ended July 5, 2025 that materially affected, or is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is provided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is incorporated by reference 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and adversely affected by tariffs, trade restrictions, and other barriers to international trade</w:t>
      </w:r>
    </w:p>
    <w:p>
      <w:pPr>
        <w:spacing w:after="0" w:line="15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Restrictions on international trade, such as tariffs and other controls on imports or exports of goods and technology can adversely affect our business and supply chain. These trade restrictions may impact the cost and availability of raw materials, components, and finished goods, which could lead to supply chain disruptions, increased costs, and lower margins. There is currently significant uncertainty about the future relationship between the U.S. and various other countries with respect to trade policies, treaties, tariffs, and taxes. The global trade situation has been highly dynamic during the first half of 2025, and in addition to the possibility of new or modified tariffs, sector-based trade measures may be implemented. For example, the U.S. Department of Commerce initiated an investigation into imports of semiconductors, semiconductor manufacturing equipment, and related products. The rapid and fluctuating changes in global trade policies have contributed to greater market volatility and general economic uncertainties, including the risk of inflation and recession, and could adversely affect customer demand, delay purchasing decisions, or limit our ability to operate efficiently in key markets. If we are unable to mitigate any negative impacts of tariffs, trade restrictions, or related market volatility through pricing adjustments, operational efficiencies, or alternative sourcing strategies, our business, financial condition, and results of operations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Future downturns may adversely effect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artificial intelligence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Broadcom,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Additionally, we use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w:t>
      </w:r>
    </w:p>
    <w:p>
      <w:pPr>
        <w:spacing w:after="0" w:line="1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is an increased risk that we may experience cybersecurity-related events such as phishing attacks and other security challenges as a result of hybrid working arrangements and employees and our service providers working remotely.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risk of cyber-attacks has increased in connection with the conflicts between Russia and Ukraine and in the Middle East.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including those described in the risk factor entitled “</w:t>
      </w:r>
      <w:r>
        <w:rPr>
          <w:rFonts w:ascii="Times New Roman" w:cs="Times New Roman" w:eastAsia="Times New Roman" w:hAnsi="Times New Roman"/>
          <w:sz w:val="18"/>
          <w:szCs w:val="18"/>
          <w:i w:val="1"/>
          <w:iCs w:val="1"/>
          <w:color w:val="auto"/>
        </w:rPr>
        <w:t>We may be the victim of business disruptions and security breaches, including cyber-attacks, which could lead to liability or could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damage our reputation and financial results</w:t>
      </w:r>
      <w:r>
        <w:rPr>
          <w:rFonts w:ascii="Times New Roman" w:cs="Times New Roman" w:eastAsia="Times New Roman" w:hAnsi="Times New Roman"/>
          <w:sz w:val="18"/>
          <w:szCs w:val="18"/>
          <w:color w:val="auto"/>
        </w:rPr>
        <w:t>,” above. Our security measures may not detect or prevent such security breaches. Any such compromise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85"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could be materially and adversely affected by tariffs, trade restrictions, and other barriers to international trade</w:t>
      </w:r>
      <w:r>
        <w:rPr>
          <w:rFonts w:ascii="Times New Roman" w:cs="Times New Roman" w:eastAsia="Times New Roman" w:hAnsi="Times New Roman"/>
          <w:sz w:val="18"/>
          <w:szCs w:val="18"/>
          <w:color w:val="auto"/>
        </w:rPr>
        <w:t>”. Furthermore, our current or potential competitors may be acquired by third parties with greater available resources and the ability to initiate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19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the current administration’s creation of the US Investment Accelerator and its negotiations of grants under the CHIPS Act may make the availability of any such incentives even less certain. If our competitors can benefit from such government incentives and we cannot, it could strengthen our competitors’ relative position and have a material adverse effect on our reputation and business.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and any requirements for buying and/or selling in currencies other than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obtain other components such as capacitors that they need to incorporate in conjunction with our products, leading to potential downturn in the demand for our products;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8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which subjects us to risks of disruptions in our supply chain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suppliers’ operations due to geopolitical changes, including risks related to deteriorating relations between China and Taiwan;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supply chain resulting from cyber-attacks on our suppliers’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we may have difficulty sourcing materials necessary to fulfill production requirements. Public health crises, such as the COVID-19 pandemic, may affect our suppliers’ production capabilities as a result of quarantines, closures of production facilities, lack of supplies or delays caused by restrictions on travel.</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such as the COVID-19 outbreak,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supply disruption, political instability and currency fluctuations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During the six months ended July 5, 2025, the percentage of our revenues derived from outside of the United States was 89% (and the revenue associated with end customers in China was 13%, and revenue attributed to China based on shipped-to location was 32%). We may not be able to maintain or increase global market demand for our products. Our international operations are subject to a number of risks, including:</w:t>
      </w:r>
    </w:p>
    <w:p>
      <w:pPr>
        <w:spacing w:after="0" w:line="183" w:lineRule="exact"/>
        <w:rPr>
          <w:sz w:val="20"/>
          <w:szCs w:val="20"/>
          <w:color w:val="auto"/>
        </w:rPr>
      </w:pPr>
    </w:p>
    <w:p>
      <w:pPr>
        <w:ind w:left="660" w:right="4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trade policies;</w:t>
      </w:r>
    </w:p>
    <w:p>
      <w:pPr>
        <w:ind w:left="660" w:right="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tariffs imposed on certain countries and sanctions or export controls imposed on customers or suppliers may affect our ability to sell and source our products;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 including the impact of the Tax Cuts and Jobs Act, which increased our effective tax rate, in part due to the impact of the requirement to capitalize and amortize foreign research and development expenses beginning in 2022;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demand and the supply chain may be adversely affected by military conflict (including the ongoing conflicts in the Middle East and between Russia and Ukraine), terrorism, sanctions or other geopolitical events globally;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76"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six months ended July 5, 2025 was $176.0 million, or 47.5%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45"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 In addition, changes to immigration laws and visa policies in the United States and other jurisdictions may restrict our ability to recruit or retain foreign nationals in key technical roles. These regulatory constraints, including increased scrutiny or delays in visa processing, could limit our access to highly specialized talent and adversely affect our hiring flexibility and long-term innovation capacity.</w:t>
      </w:r>
    </w:p>
    <w:p>
      <w:pPr>
        <w:spacing w:after="0" w:line="20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may make in the future entail a number of risks that could materially and adversely affect our business and operating results,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technologies or products with our existing business and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financial resources above our planned investment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suppliers and customers of the acquired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prior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of licenses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due to acquired overhead;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earn-outs and escrows;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related goodwill and intangible assets.</w:t>
      </w:r>
    </w:p>
    <w:p>
      <w:pPr>
        <w:spacing w:after="0" w:line="20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profit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six months ended July 5, 2025, 68% of our revenue was derived from distributors (and 47%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have long-term commitments from our customers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0"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Customers may decide not to purchase our products at all, purchase fewer products than they did in the past, or alter their purchasing patterns, particularly because:</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could adversely affect our business,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COVID-19 pandemic negatively impacted the global economy, disrupted our operations, global supply chains and the operations of our customers.</w:t>
      </w:r>
    </w:p>
    <w:p>
      <w:pPr>
        <w:spacing w:after="0" w:line="23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impacts of any future public health crises on our business, customers, suppliers, employees, markets and financial results and condition are uncertain and dependent on numerous unpredictable factors outside of our control,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impact of a global economic recession or depression that could reduce demand and/or pricing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and supply chain (and the business and supply chains of our customers) in connection with the sourcing of materials, equipment and engineering support, and services from geographic areas impacted by the public health crisis, including disruptions caused by illnesses, quarantines and restrictions on people’s ability to work, office and factory closures, disruptions to ports and other shipping infrastructure, border closures, and other travel or health-related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limitations on the ability of our customers to make timely payments;</w:t>
      </w:r>
    </w:p>
    <w:p>
      <w:pPr>
        <w:spacing w:after="0" w:line="9" w:lineRule="exact"/>
        <w:rPr>
          <w:rFonts w:ascii="Times New Roman" w:cs="Times New Roman" w:eastAsia="Times New Roman" w:hAnsi="Times New Roman"/>
          <w:sz w:val="18"/>
          <w:szCs w:val="18"/>
          <w:color w:val="auto"/>
        </w:rPr>
      </w:pPr>
    </w:p>
    <w:p>
      <w:pPr>
        <w:ind w:left="660" w:right="7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to limit exposure to and spreading of such infectious diseases, such as travel restrictions, quarantines and business shutdowns or slowdowns, facility closures or other restrictions;</w:t>
      </w:r>
    </w:p>
    <w:p>
      <w:pPr>
        <w:ind w:left="660" w:right="1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that could limit our ability to obtain external financing to fund our operations and capital expenditures or to refinance our existing indebtedness;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asset impairments, including goodwill, intangible assets, investments and other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cyber-related risks due to hybrid working models and increased remote working;</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implementing and managing a hybrid model of working from home or the office, establishing appropriate office safety protocols, maintaining our corporate culture, and continuing to attract, retain and motivate our employees;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our computer systems or communication systems;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risks, including difficulties in liquidating investments due to current market conditions and adverse investment performance.</w:t>
      </w:r>
    </w:p>
    <w:p>
      <w:pPr>
        <w:spacing w:after="0" w:line="22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decrease in sales resulting from any public health crisis will be offset by increased sales in subsequent periods. Even after any public health crisis has subsided, we may continue to experience materially adverse impacts to our business as a result of its global economic impact, including any recession, economic downturn or increased unemployment that has occurred or may occur in the future. An extended period of global supply chain and economic disruption could materially affect our business, results of operations, access to sources of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we have used and may increase our use of new technology such as AI or generative AI to enhance our products, decrease our development times, or improve our customers’ efficiency.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cyber security vulnerabilities. Any ineffective AI usage could negatively impact our or our customer’s business reputation and negatively impact our competitive standing.</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any of our more significant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continued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technological standards or changes to existing standards that we are unable to address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release new products or enhanced versions of our existing products on a timely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new products to achieve market acceptance.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Any disposition of a business or product line that we have made and may make in the future would entail a number of risks that could materially and adversely affect our business and operating results,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separating the divested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relations with customers who previously purchased products from our disposed product 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with suppliers due to reduced aggregate volume;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 relations;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disposition is not completed on the expected timeline,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and licensing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do not realize the anticipated benefits from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third-party claims arising out of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and other liabilities related to the transition services provided in connection with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dispositions;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Disposition-related disputes, including disputes over earn-outs and escrows.</w:t>
      </w:r>
    </w:p>
    <w:p>
      <w:pPr>
        <w:spacing w:after="0" w:line="203"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3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Additionally, in certain products, some of our customers offer their own competitive products. These customers may find it advantageous to support their own offerings in the marketplace in lieu of promoting or using our products.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privacy and data security/protection laws could have an adverse effect on our operations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such as the European Union’s General Data Protection Regulation (“GDPR”) regarding privacy, data protection and data security.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We previously identified a material weakness in our internal control over financial reporting. Although we have remediated this material weakness, we may identify additional material weaknesses or other deficiencies in the future or otherwise fail to maintain an effective system of internal controls, including disclosure controls and procedures, and this could result in material misstatements of our financial statements or cause us to fail to meet our reporting obligations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previously identified a material weakness that existed as of the end of our fiscal 2023 regarding our internal controls over inventory valuation, primarily the undue reliance on forecasted inventory demand which was not subjected to a sufficient level of management review. As a result of this material weakness,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had been remediated. While the material weakness was remediated, we continue to seek improvements to enhance our control environment and to strengthen our internal controls to provide reasonable assurance that our financial statements continue to be fairly stated in all material respects.</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Should new material weaknesses arise or be discovered in the future, material misstatements could occur and go undetected in our interim or annual consolidated financial statements. If we fail to remediate any future material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selling or manufacturing certain products, services or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which license may require the payment of substantial royalties or may not be available on reasonable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time delays and lost business opportunities to develop alternative technologies or redesign products;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incorporate technology licensed from third parties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 w:cs="Times New Roman" w:eastAsia="Times New Roman" w:hAnsi="Times New Roman"/>
          <w:sz w:val="17"/>
          <w:szCs w:val="17"/>
          <w:i w:val="1"/>
          <w:iCs w:val="1"/>
          <w:color w:val="auto"/>
        </w:rPr>
        <w:t>Significant litigation over intellectual property in our industry may cause us to become involved in costly and lengthy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which could seriously harm our business. </w:t>
      </w:r>
      <w:r>
        <w:rPr>
          <w:rFonts w:ascii="Times New Roman" w:cs="Times New Roman" w:eastAsia="Times New Roman" w:hAnsi="Times New Roman"/>
          <w:sz w:val="18"/>
          <w:szCs w:val="18"/>
          <w:color w:val="auto"/>
        </w:rPr>
        <w:t>Furthermore, any failure of third-party technology to perform properly would adversely affect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incorporating such technology.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financial services industry could adversely affect our operations and financial condition</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borrowings under our credit agreement or other indebtedness could adversely affect our operations and financial condition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received a waiver through the third quarter of 2025. We did not have any outstanding indebtedness under the credit facility at the time the waiver was granted, and the waiver allowed us to borrow under the facility without compliance with that specific financial covenant, although we have not borrowed under the facility while the waiver has been in effect. If we are unable to satisfy or otherwise obtain waivers of the covenants under our credit facility, we may be prohibited from borrowing thereunder. Further, if we breach any of the covenants under our credit facility and do not obtain appropriate waivers, then, subject to any applicable cure periods, any outstanding indebtedness thereunder could be declared immediately due and payable.</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could seek to raise additional debt or equity capital in the future, but additional capital may not be available on terms acceptable to us, or at all</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0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5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to be elected on a staggered basis, one class each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our preferred stock in one or more series without further authorization of our stockholders;</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supermajority vote be obtained to amend or repeal certain provisions of our certificate of incorporation.</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July 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were no contracts, instructions or written plans for the purchase or sale of our securities intended to satisfy the affirmative defense conditions of Rule 10b5-1(c), nor were there any non-Rule 10b5-1 trading arrangements, entered into or terminated by our directors and officers (as defined under Rule 16b-1(f) of the Exchange Act) during the quarter ended July 5,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Exhibit</w:t>
            </w:r>
          </w:p>
        </w:tc>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7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Fifth Amended and Restated Certificate of Incorporation</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13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4"/>
                <w:szCs w:val="14"/>
                <w:color w:val="auto"/>
              </w:rPr>
            </w:pPr>
          </w:p>
        </w:tc>
        <w:tc>
          <w:tcPr>
            <w:tcW w:w="97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9740" w:type="dxa"/>
            <w:vAlign w:val="bottom"/>
            <w:gridSpan w:val="7"/>
          </w:tcPr>
          <w:p>
            <w:pPr>
              <w:spacing w:after="0"/>
              <w:rPr>
                <w:rFonts w:ascii="Times New Roman" w:cs="Times New Roman" w:eastAsia="Times New Roman" w:hAnsi="Times New Roman"/>
                <w:sz w:val="16"/>
                <w:szCs w:val="16"/>
                <w:color w:val="0000EE"/>
              </w:rPr>
            </w:pPr>
            <w:hyperlink r:id="rId52">
              <w:r>
                <w:rPr>
                  <w:rFonts w:ascii="Times New Roman" w:cs="Times New Roman" w:eastAsia="Times New Roman" w:hAnsi="Times New Roman"/>
                  <w:sz w:val="16"/>
                  <w:szCs w:val="16"/>
                  <w:color w:val="0000EE"/>
                </w:rPr>
                <w:t>Sixth Amended and Restated Bylaws of Silicon Laboratories Inc. (filed as Exhibit 3.1 to the Form 8-K filed on April 21, 2023).</w:t>
              </w:r>
            </w:hyperlink>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8260" w:type="dxa"/>
            <w:vAlign w:val="bottom"/>
            <w:tcBorders>
              <w:top w:val="single" w:sz="8" w:color="0000EE"/>
            </w:tcBorders>
            <w:gridSpan w:val="6"/>
          </w:tcPr>
          <w:p>
            <w:pPr>
              <w:spacing w:after="0"/>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Specimen certificate for shares of common stock (filed as Exhibit 4.1 to the IPO Registration Statement).</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Certification of the Principal Executive Officer, as required by Section 302 of the Sarbanes-Oxley Act of 2002.</w:t>
            </w: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71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Certification of the Principal Financial Officer, as required by Section 302 of the Sarbanes-Oxley Act of 2002.</w:t>
            </w:r>
          </w:p>
        </w:tc>
        <w:tc>
          <w:tcPr>
            <w:tcW w:w="2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71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as required by Section 906 of the Sarbanes-Oxley Act of 2002.</w:t>
            </w:r>
          </w:p>
        </w:tc>
        <w:tc>
          <w:tcPr>
            <w:tcW w:w="2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50"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3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2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8"/>
              </w:rPr>
              <w:t>SILICON LABORATORIES INC.</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5,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 Matthew Johnson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Matthew Johnson</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5,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Dean Butler</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 Butler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5,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D. Mauldin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D. Mauldin</w:t>
            </w:r>
          </w:p>
        </w:tc>
      </w:tr>
      <w:tr>
        <w:trPr>
          <w:trHeight w:val="256"/>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918"/>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FIFTH AMENDED AND RESTATED CERTIFICATE OF</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INCORPORATION OF</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SILICON LABORATORIES INC.</w:t>
      </w:r>
    </w:p>
    <w:p>
      <w:pPr>
        <w:spacing w:after="0" w:line="231" w:lineRule="exact"/>
        <w:rPr>
          <w:sz w:val="20"/>
          <w:szCs w:val="20"/>
          <w:color w:val="auto"/>
        </w:rPr>
      </w:pPr>
    </w:p>
    <w:p>
      <w:pPr>
        <w:ind w:left="40" w:right="620" w:firstLine="45"/>
        <w:spacing w:after="0" w:line="297" w:lineRule="auto"/>
        <w:rPr>
          <w:sz w:val="20"/>
          <w:szCs w:val="20"/>
          <w:color w:val="auto"/>
        </w:rPr>
      </w:pPr>
      <w:r>
        <w:rPr>
          <w:rFonts w:ascii="Times New Roman" w:cs="Times New Roman" w:eastAsia="Times New Roman" w:hAnsi="Times New Roman"/>
          <w:sz w:val="21"/>
          <w:szCs w:val="21"/>
          <w:color w:val="auto"/>
        </w:rPr>
        <w:t>Silicon Laboratories Inc. (the “Corporation”), a corporation organized and existing under the laws of the State of Delaware, hereby certifies as follows:</w:t>
      </w:r>
    </w:p>
    <w:p>
      <w:pPr>
        <w:spacing w:after="0" w:line="91" w:lineRule="exact"/>
        <w:rPr>
          <w:sz w:val="20"/>
          <w:szCs w:val="20"/>
          <w:color w:val="auto"/>
        </w:rPr>
      </w:pPr>
    </w:p>
    <w:p>
      <w:pPr>
        <w:ind w:left="660" w:right="860" w:hanging="285"/>
        <w:spacing w:after="0" w:line="297" w:lineRule="auto"/>
        <w:tabs>
          <w:tab w:leader="none" w:pos="65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original Certificate of Incorporation of this corporation was filed with the Secretary of State of the State of Delaware on August 19, 1996 under the name “Silicon Laboratories Inc.”</w:t>
      </w:r>
    </w:p>
    <w:p>
      <w:pPr>
        <w:spacing w:after="0" w:line="158" w:lineRule="exact"/>
        <w:rPr>
          <w:rFonts w:ascii="Times New Roman" w:cs="Times New Roman" w:eastAsia="Times New Roman" w:hAnsi="Times New Roman"/>
          <w:sz w:val="21"/>
          <w:szCs w:val="21"/>
          <w:color w:val="auto"/>
        </w:rPr>
      </w:pPr>
    </w:p>
    <w:p>
      <w:pPr>
        <w:jc w:val="both"/>
        <w:ind w:left="660" w:right="300" w:hanging="309"/>
        <w:spacing w:after="0" w:line="282" w:lineRule="auto"/>
        <w:tabs>
          <w:tab w:leader="none" w:pos="650" w:val="left"/>
        </w:tabs>
        <w:numPr>
          <w:ilvl w:val="0"/>
          <w:numId w:val="26"/>
        </w:numPr>
        <w:rPr>
          <w:rFonts w:ascii="Times New Roman" w:cs="Times New Roman" w:eastAsia="Times New Roman" w:hAnsi="Times New Roman"/>
          <w:sz w:val="21"/>
          <w:szCs w:val="21"/>
          <w:color w:val="3D3D3D"/>
        </w:rPr>
      </w:pPr>
      <w:r>
        <w:rPr>
          <w:rFonts w:ascii="Times New Roman" w:cs="Times New Roman" w:eastAsia="Times New Roman" w:hAnsi="Times New Roman"/>
          <w:sz w:val="21"/>
          <w:szCs w:val="21"/>
          <w:color w:val="auto"/>
        </w:rPr>
        <w:t>This Fifth Amended and Restated Certificate of Incorporation, which restates, integrates, and amends the Fourth Amended and Restated Certificate of Incorporation, has been duly adopted in accordance with the provisions of Sections 242 and 245 of the General Corporation Law of the State of Delaware (the “DGCL”) by the Board of Directors and the stockholders of the Corporation.</w:t>
      </w:r>
    </w:p>
    <w:p>
      <w:pPr>
        <w:spacing w:after="0" w:line="174" w:lineRule="exact"/>
        <w:rPr>
          <w:rFonts w:ascii="Times New Roman" w:cs="Times New Roman" w:eastAsia="Times New Roman" w:hAnsi="Times New Roman"/>
          <w:sz w:val="21"/>
          <w:szCs w:val="21"/>
          <w:color w:val="3D3D3D"/>
        </w:rPr>
      </w:pPr>
    </w:p>
    <w:p>
      <w:pPr>
        <w:ind w:left="680" w:right="840" w:hanging="339"/>
        <w:spacing w:after="0" w:line="297" w:lineRule="auto"/>
        <w:tabs>
          <w:tab w:leader="none" w:pos="679" w:val="left"/>
        </w:tabs>
        <w:numPr>
          <w:ilvl w:val="0"/>
          <w:numId w:val="26"/>
        </w:numPr>
        <w:rPr>
          <w:rFonts w:ascii="Times New Roman" w:cs="Times New Roman" w:eastAsia="Times New Roman" w:hAnsi="Times New Roman"/>
          <w:sz w:val="21"/>
          <w:szCs w:val="21"/>
          <w:color w:val="3D3D3D"/>
        </w:rPr>
      </w:pPr>
      <w:r>
        <w:rPr>
          <w:rFonts w:ascii="Times New Roman" w:cs="Times New Roman" w:eastAsia="Times New Roman" w:hAnsi="Times New Roman"/>
          <w:sz w:val="21"/>
          <w:szCs w:val="21"/>
          <w:color w:val="auto"/>
        </w:rPr>
        <w:t>The text of the Fourth Amended and Restated Certificate of Incorporation is hereby restated, integrated, and amended to read in its entirety is follows:</w:t>
      </w:r>
    </w:p>
    <w:p>
      <w:pPr>
        <w:spacing w:after="0" w:line="1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name of this Corporation shall be Silicon Laboratories Inc. (the “CORPORATION”).</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47" w:lineRule="exact"/>
        <w:rPr>
          <w:sz w:val="20"/>
          <w:szCs w:val="20"/>
          <w:color w:val="auto"/>
        </w:rPr>
      </w:pPr>
    </w:p>
    <w:p>
      <w:pPr>
        <w:jc w:val="both"/>
        <w:ind w:left="20" w:right="280" w:firstLine="641"/>
        <w:spacing w:after="0" w:line="262" w:lineRule="auto"/>
        <w:rPr>
          <w:sz w:val="20"/>
          <w:szCs w:val="20"/>
          <w:color w:val="auto"/>
        </w:rPr>
      </w:pPr>
      <w:r>
        <w:rPr>
          <w:rFonts w:ascii="Times New Roman" w:cs="Times New Roman" w:eastAsia="Times New Roman" w:hAnsi="Times New Roman"/>
          <w:sz w:val="21"/>
          <w:szCs w:val="21"/>
          <w:color w:val="auto"/>
        </w:rPr>
        <w:t>The address of the registered office of the Corporation in the State of Delaware is 1209 Orange Street, City of Wilmington, County of New Castle, State of Delaware. The name of the registered agent at that address is The Corporation Trust Company.</w:t>
      </w:r>
    </w:p>
    <w:p>
      <w:pPr>
        <w:spacing w:after="0" w:line="1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 xml:space="preserve">ARTICLE </w:t>
      </w:r>
      <w:r>
        <w:rPr>
          <w:rFonts w:ascii="Times New Roman" w:cs="Times New Roman" w:eastAsia="Times New Roman" w:hAnsi="Times New Roman"/>
          <w:sz w:val="23"/>
          <w:szCs w:val="23"/>
          <w:color w:val="auto"/>
        </w:rPr>
        <w:t>III.</w:t>
      </w:r>
    </w:p>
    <w:p>
      <w:pPr>
        <w:spacing w:after="0" w:line="248" w:lineRule="exact"/>
        <w:rPr>
          <w:sz w:val="20"/>
          <w:szCs w:val="20"/>
          <w:color w:val="auto"/>
        </w:rPr>
      </w:pPr>
    </w:p>
    <w:p>
      <w:pPr>
        <w:jc w:val="both"/>
        <w:ind w:left="20" w:right="280" w:firstLine="650"/>
        <w:spacing w:after="0" w:line="283" w:lineRule="auto"/>
        <w:rPr>
          <w:sz w:val="20"/>
          <w:szCs w:val="20"/>
          <w:color w:val="auto"/>
        </w:rPr>
      </w:pPr>
      <w:r>
        <w:rPr>
          <w:rFonts w:ascii="Times New Roman" w:cs="Times New Roman" w:eastAsia="Times New Roman" w:hAnsi="Times New Roman"/>
          <w:sz w:val="21"/>
          <w:szCs w:val="21"/>
          <w:color w:val="auto"/>
        </w:rPr>
        <w:t>The purpose of the Corporation is to engage in any lawful act or activity for which corporations may be organized under the Delaware General Corporation Law.</w:t>
      </w:r>
    </w:p>
    <w:p>
      <w:pPr>
        <w:spacing w:after="0" w:line="1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Corporation’s capital stock shall be comprised as follows:</w:t>
      </w:r>
    </w:p>
    <w:p>
      <w:pPr>
        <w:spacing w:after="0" w:line="245" w:lineRule="exact"/>
        <w:rPr>
          <w:sz w:val="20"/>
          <w:szCs w:val="20"/>
          <w:color w:val="auto"/>
        </w:rPr>
      </w:pPr>
    </w:p>
    <w:p>
      <w:pPr>
        <w:jc w:val="both"/>
        <w:ind w:left="20" w:right="280" w:firstLine="654"/>
        <w:spacing w:after="0" w:line="262" w:lineRule="auto"/>
        <w:rPr>
          <w:sz w:val="20"/>
          <w:szCs w:val="20"/>
          <w:color w:val="auto"/>
        </w:rPr>
      </w:pPr>
      <w:r>
        <w:rPr>
          <w:rFonts w:ascii="Times New Roman" w:cs="Times New Roman" w:eastAsia="Times New Roman" w:hAnsi="Times New Roman"/>
          <w:sz w:val="21"/>
          <w:szCs w:val="21"/>
          <w:color w:val="3D3D3D"/>
        </w:rPr>
        <w:t xml:space="preserve">A. </w:t>
      </w:r>
      <w:r>
        <w:rPr>
          <w:rFonts w:ascii="Times New Roman" w:cs="Times New Roman" w:eastAsia="Times New Roman" w:hAnsi="Times New Roman"/>
          <w:sz w:val="21"/>
          <w:szCs w:val="21"/>
          <w:u w:val="single" w:color="auto"/>
          <w:color w:val="000000"/>
        </w:rPr>
        <w:t>Authorized Shares.</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000000"/>
        </w:rPr>
        <w:t>The aggregate number of shares that the Corporation shall have authority to issue is</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000000"/>
        </w:rPr>
        <w:t>260,000,000, (a) 250,000,000 shares of which shall be Common Stock, par value $0.0001 per share, and (b) 10,000,000 of which shall be Preferred Stock, par value $0.0001 per share.</w:t>
      </w:r>
    </w:p>
    <w:p>
      <w:pPr>
        <w:spacing w:after="0" w:line="168" w:lineRule="exact"/>
        <w:rPr>
          <w:sz w:val="20"/>
          <w:szCs w:val="20"/>
          <w:color w:val="auto"/>
        </w:rPr>
      </w:pPr>
    </w:p>
    <w:p>
      <w:pPr>
        <w:jc w:val="both"/>
        <w:ind w:right="280" w:firstLine="658"/>
        <w:spacing w:after="0" w:line="269" w:lineRule="auto"/>
        <w:tabs>
          <w:tab w:leader="none" w:pos="980" w:val="left"/>
        </w:tabs>
        <w:numPr>
          <w:ilvl w:val="0"/>
          <w:numId w:val="27"/>
        </w:numPr>
        <w:rPr>
          <w:rFonts w:ascii="Times New Roman" w:cs="Times New Roman" w:eastAsia="Times New Roman" w:hAnsi="Times New Roman"/>
          <w:sz w:val="21"/>
          <w:szCs w:val="21"/>
          <w:color w:val="3D3D3D"/>
        </w:rPr>
      </w:pP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xml:space="preserve"> Each share of Common Stock shall have one vote on each matter submitted to a vote of the stockholders of the Corporation. Subject to the provisions of applicable law and the rights of the holders of the outstanding shares of Preferred Stock, if any, the holders</w:t>
      </w:r>
    </w:p>
    <w:p>
      <w:pPr>
        <w:sectPr>
          <w:pgSz w:w="11900" w:h="16838" w:orient="portrait"/>
          <w:cols w:equalWidth="0" w:num="1">
            <w:col w:w="10920"/>
          </w:cols>
          <w:pgMar w:left="640" w:top="100" w:right="339" w:bottom="1440" w:gutter="0" w:footer="0" w:header="0"/>
        </w:sectPr>
      </w:pPr>
    </w:p>
    <w:bookmarkStart w:id="42" w:name="page43"/>
    <w:bookmarkEnd w:id="42"/>
    <w:p>
      <w:pPr>
        <w:spacing w:after="0" w:line="4" w:lineRule="exact"/>
        <w:rPr>
          <w:sz w:val="20"/>
          <w:szCs w:val="20"/>
          <w:color w:val="auto"/>
        </w:rPr>
      </w:pPr>
    </w:p>
    <w:p>
      <w:pPr>
        <w:jc w:val="both"/>
        <w:ind w:right="40" w:firstLine="3"/>
        <w:spacing w:after="0" w:line="258" w:lineRule="auto"/>
        <w:rPr>
          <w:sz w:val="20"/>
          <w:szCs w:val="20"/>
          <w:color w:val="auto"/>
        </w:rPr>
      </w:pPr>
      <w:r>
        <w:rPr>
          <w:rFonts w:ascii="Times New Roman" w:cs="Times New Roman" w:eastAsia="Times New Roman" w:hAnsi="Times New Roman"/>
          <w:sz w:val="21"/>
          <w:szCs w:val="21"/>
          <w:color w:val="auto"/>
        </w:rPr>
        <w:t>of shares of Common Stock shall be entitled to receive, when and as declared by the Board of Directors of the Corporation, out of the assets of the Corporation legally available therefor, dividends or other distributions, whether payable in cash, property or securities of the Corporation. The holders of shares of Common Stock shall be entitled to receive, in proportion to the number of shares of Common Stock held, the net assets of the Corporation upon dissolution after any preferential amounts required to be paid or distributed to holders of outstanding shares of Preferred Stock, if any, are so paid or distributed.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right="40" w:firstLine="1126"/>
        <w:spacing w:after="0" w:line="260" w:lineRule="auto"/>
        <w:tabs>
          <w:tab w:leader="none" w:pos="1600" w:val="left"/>
        </w:tabs>
        <w:numPr>
          <w:ilvl w:val="0"/>
          <w:numId w:val="28"/>
        </w:numPr>
        <w:rPr>
          <w:rFonts w:ascii="Times New Roman" w:cs="Times New Roman" w:eastAsia="Times New Roman" w:hAnsi="Times New Roman"/>
          <w:sz w:val="21"/>
          <w:szCs w:val="21"/>
          <w:color w:val="3F3F3F"/>
        </w:rPr>
      </w:pPr>
      <w:r>
        <w:rPr>
          <w:rFonts w:ascii="Times New Roman" w:cs="Times New Roman" w:eastAsia="Times New Roman" w:hAnsi="Times New Roman"/>
          <w:sz w:val="21"/>
          <w:szCs w:val="21"/>
          <w:color w:val="auto"/>
        </w:rPr>
        <w:t>SERIES. The Preferred Stock may be issued from time to time by the Board of Directors as shares of one or more series. The description of shares of each additional series of Preferred Stock, including any designations, preferences, conversion and other rights, voting powers, restrictions, limitations as to dividends, qualifications, and terms and conditions of redemption shall be as set forth in resolutions adopted by the Board of Directors.</w:t>
      </w:r>
    </w:p>
    <w:p>
      <w:pPr>
        <w:spacing w:after="0" w:line="182" w:lineRule="exact"/>
        <w:rPr>
          <w:rFonts w:ascii="Times New Roman" w:cs="Times New Roman" w:eastAsia="Times New Roman" w:hAnsi="Times New Roman"/>
          <w:sz w:val="21"/>
          <w:szCs w:val="21"/>
          <w:color w:val="3F3F3F"/>
        </w:rPr>
      </w:pPr>
    </w:p>
    <w:p>
      <w:pPr>
        <w:jc w:val="both"/>
        <w:ind w:right="20" w:firstLine="1126"/>
        <w:spacing w:after="0" w:line="269" w:lineRule="auto"/>
        <w:tabs>
          <w:tab w:leader="none" w:pos="1600" w:val="left"/>
        </w:tabs>
        <w:numPr>
          <w:ilvl w:val="0"/>
          <w:numId w:val="28"/>
        </w:numPr>
        <w:rPr>
          <w:rFonts w:ascii="Times New Roman" w:cs="Times New Roman" w:eastAsia="Times New Roman" w:hAnsi="Times New Roman"/>
          <w:sz w:val="20"/>
          <w:szCs w:val="20"/>
          <w:color w:val="3F3F3F"/>
        </w:rPr>
      </w:pPr>
      <w:r>
        <w:rPr>
          <w:rFonts w:ascii="Times New Roman" w:cs="Times New Roman" w:eastAsia="Times New Roman" w:hAnsi="Times New Roman"/>
          <w:sz w:val="20"/>
          <w:szCs w:val="20"/>
          <w:u w:val="single" w:color="auto"/>
          <w:color w:val="auto"/>
        </w:rPr>
        <w:t>Rights and Preferences.</w:t>
      </w:r>
      <w:r>
        <w:rPr>
          <w:rFonts w:ascii="Times New Roman" w:cs="Times New Roman" w:eastAsia="Times New Roman" w:hAnsi="Times New Roman"/>
          <w:sz w:val="20"/>
          <w:szCs w:val="20"/>
          <w:color w:val="auto"/>
        </w:rPr>
        <w:t xml:space="preserve"> The Board of Directors is expressly 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 the dividend rate, if any, on shares of such series, the times of payment and the date from which dividends shall be accumulated, if dividends are to be cumulative;</w:t>
      </w:r>
    </w:p>
    <w:p>
      <w:pPr>
        <w:spacing w:after="0" w:line="164" w:lineRule="exact"/>
        <w:rPr>
          <w:rFonts w:ascii="Times New Roman" w:cs="Times New Roman" w:eastAsia="Times New Roman" w:hAnsi="Times New Roman"/>
          <w:sz w:val="20"/>
          <w:szCs w:val="20"/>
          <w:color w:val="3F3F3F"/>
        </w:rPr>
      </w:pPr>
    </w:p>
    <w:p>
      <w:pPr>
        <w:ind w:left="20" w:right="40" w:firstLine="1698"/>
        <w:spacing w:after="0" w:line="270" w:lineRule="auto"/>
        <w:tabs>
          <w:tab w:leader="none" w:pos="226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shares of such series shall be redeemable and, if so, the redemption price and the terms and conditions of such redemption;</w:t>
      </w:r>
    </w:p>
    <w:p>
      <w:pPr>
        <w:spacing w:after="0" w:line="172" w:lineRule="exact"/>
        <w:rPr>
          <w:rFonts w:ascii="Times New Roman" w:cs="Times New Roman" w:eastAsia="Times New Roman" w:hAnsi="Times New Roman"/>
          <w:sz w:val="21"/>
          <w:szCs w:val="21"/>
          <w:color w:val="auto"/>
        </w:rPr>
      </w:pPr>
    </w:p>
    <w:p>
      <w:pPr>
        <w:ind w:left="2260" w:hanging="555"/>
        <w:spacing w:after="0"/>
        <w:tabs>
          <w:tab w:leader="none" w:pos="226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if any, of the Corporation to redeem shares of such series pursuant to a sinking fund;</w:t>
      </w:r>
    </w:p>
    <w:p>
      <w:pPr>
        <w:spacing w:after="0" w:line="217" w:lineRule="exact"/>
        <w:rPr>
          <w:rFonts w:ascii="Times New Roman" w:cs="Times New Roman" w:eastAsia="Times New Roman" w:hAnsi="Times New Roman"/>
          <w:sz w:val="21"/>
          <w:szCs w:val="21"/>
          <w:color w:val="auto"/>
        </w:rPr>
      </w:pPr>
    </w:p>
    <w:p>
      <w:pPr>
        <w:jc w:val="both"/>
        <w:ind w:right="20" w:firstLine="1723"/>
        <w:spacing w:after="0" w:line="269" w:lineRule="auto"/>
        <w:tabs>
          <w:tab w:leader="none" w:pos="224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shares of such series shall be convertible into, or exchangeable for, shares of stock of any other class of classes and, if so, the terms and conditions of such conversion or exchange, including the price or prices or the rate or rates of conversion or exchange and the terms of adjustment, if any;</w:t>
      </w:r>
    </w:p>
    <w:p>
      <w:pPr>
        <w:spacing w:after="0" w:line="160" w:lineRule="exact"/>
        <w:rPr>
          <w:rFonts w:ascii="Times New Roman" w:cs="Times New Roman" w:eastAsia="Times New Roman" w:hAnsi="Times New Roman"/>
          <w:sz w:val="21"/>
          <w:szCs w:val="21"/>
          <w:color w:val="auto"/>
        </w:rPr>
      </w:pPr>
    </w:p>
    <w:p>
      <w:pPr>
        <w:ind w:left="20" w:right="40" w:firstLine="1685"/>
        <w:spacing w:after="0" w:line="283" w:lineRule="auto"/>
        <w:tabs>
          <w:tab w:leader="none" w:pos="2264"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shares of such series shall have voting rights, in addition to the voting rights provided by law, and, if so, the extent of such voting rights;</w:t>
      </w:r>
    </w:p>
    <w:p>
      <w:pPr>
        <w:spacing w:after="0" w:line="159" w:lineRule="exact"/>
        <w:rPr>
          <w:rFonts w:ascii="Times New Roman" w:cs="Times New Roman" w:eastAsia="Times New Roman" w:hAnsi="Times New Roman"/>
          <w:sz w:val="21"/>
          <w:szCs w:val="21"/>
          <w:color w:val="auto"/>
        </w:rPr>
      </w:pPr>
    </w:p>
    <w:p>
      <w:pPr>
        <w:ind w:left="20" w:right="20" w:firstLine="1703"/>
        <w:spacing w:after="0" w:line="270" w:lineRule="auto"/>
        <w:tabs>
          <w:tab w:leader="none" w:pos="225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 the shares of such series in the event of voluntary or involuntary liquidation, dissolution or winding-up of the Corporation; and</w:t>
      </w:r>
    </w:p>
    <w:p>
      <w:pPr>
        <w:spacing w:after="0" w:line="172" w:lineRule="exact"/>
        <w:rPr>
          <w:rFonts w:ascii="Times New Roman" w:cs="Times New Roman" w:eastAsia="Times New Roman" w:hAnsi="Times New Roman"/>
          <w:sz w:val="21"/>
          <w:szCs w:val="21"/>
          <w:color w:val="auto"/>
        </w:rPr>
      </w:pPr>
    </w:p>
    <w:p>
      <w:pPr>
        <w:ind w:left="2260" w:hanging="515"/>
        <w:spacing w:after="0"/>
        <w:tabs>
          <w:tab w:leader="none" w:pos="22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other relative rights, powers, preferences, qualifications, limitations or restrictions thereof</w:t>
      </w:r>
    </w:p>
    <w:p>
      <w:pPr>
        <w:spacing w:after="0" w:line="28"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relating to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80"/>
          </w:cols>
          <w:pgMar w:left="660" w:top="1440" w:right="559" w:bottom="1440" w:gutter="0" w:footer="0" w:header="0"/>
        </w:sectPr>
      </w:pPr>
    </w:p>
    <w:bookmarkStart w:id="43" w:name="page44"/>
    <w:bookmarkEnd w:id="43"/>
    <w:p>
      <w:pPr>
        <w:jc w:val="center"/>
        <w:ind w:right="7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33" w:lineRule="exact"/>
        <w:rPr>
          <w:sz w:val="20"/>
          <w:szCs w:val="20"/>
          <w:color w:val="auto"/>
        </w:rPr>
      </w:pPr>
    </w:p>
    <w:p>
      <w:pPr>
        <w:jc w:val="both"/>
        <w:ind w:left="10" w:firstLine="662"/>
        <w:spacing w:after="0" w:line="253" w:lineRule="auto"/>
        <w:rPr>
          <w:sz w:val="20"/>
          <w:szCs w:val="20"/>
          <w:color w:val="auto"/>
        </w:rPr>
      </w:pPr>
      <w:r>
        <w:rPr>
          <w:rFonts w:ascii="Times New Roman" w:cs="Times New Roman" w:eastAsia="Times New Roman" w:hAnsi="Times New Roman"/>
          <w:sz w:val="21"/>
          <w:szCs w:val="21"/>
          <w:color w:val="auto"/>
        </w:rPr>
        <w:t>No director or officer of the Corporation shall be personally liable to the Corporation or its stockholders for monetary damages for breach of fiduciary duty by such director as a director or such officer as an officer, except that this Article shall not eliminate or limit the liability of (a) a director or officer for any breach of the director’s or officer’s duty of loyalty to the Corporation or its stockholders, (b) a director or officer for acts or omissions not in good faith or which involve intentional misconduct or a knowing violation of law, (c) a director under Section 174 of the Delaware General Corporation Law, (d) a director or officer for any transaction from which the director or officer derived any improper personal benefit, or (e) an officer in any action by or in the right of the Corporation. Neither the amendment nor repeal of this Article shall eliminate or reduce the effect of this Article in respect of any matter occurring, or any cause of action, suit or claim that, but for this Article, would accrue or arise, prior to such amendment or repeal. If the Delaware General Corporation Law is amended after approval by the stockholders of this Article to authorize corporate action further eliminating or limiting the personal liability of directors or officers, then the liability of a director or officer of the Corporation shall be eliminated or limited to the fullest extent permitted by the Delaware General Corporation Law as so amended.</w:t>
      </w:r>
    </w:p>
    <w:p>
      <w:pPr>
        <w:spacing w:after="0" w:line="183"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33" w:lineRule="exact"/>
        <w:rPr>
          <w:sz w:val="20"/>
          <w:szCs w:val="20"/>
          <w:color w:val="auto"/>
        </w:rPr>
      </w:pPr>
    </w:p>
    <w:p>
      <w:pPr>
        <w:jc w:val="both"/>
        <w:ind w:left="10" w:right="20" w:firstLine="645"/>
        <w:spacing w:after="0" w:line="269" w:lineRule="auto"/>
        <w:rPr>
          <w:sz w:val="20"/>
          <w:szCs w:val="20"/>
          <w:color w:val="auto"/>
        </w:rPr>
      </w:pPr>
      <w:r>
        <w:rPr>
          <w:rFonts w:ascii="Times New Roman" w:cs="Times New Roman" w:eastAsia="Times New Roman" w:hAnsi="Times New Roman"/>
          <w:sz w:val="21"/>
          <w:szCs w:val="21"/>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of the Corporation.</w:t>
      </w:r>
    </w:p>
    <w:p>
      <w:pPr>
        <w:spacing w:after="0" w:line="158"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33" w:lineRule="exact"/>
        <w:rPr>
          <w:sz w:val="20"/>
          <w:szCs w:val="20"/>
          <w:color w:val="auto"/>
        </w:rPr>
      </w:pPr>
    </w:p>
    <w:p>
      <w:pPr>
        <w:jc w:val="both"/>
        <w:ind w:left="10" w:right="20" w:firstLine="665"/>
        <w:spacing w:after="0" w:line="262" w:lineRule="auto"/>
        <w:rPr>
          <w:sz w:val="20"/>
          <w:szCs w:val="20"/>
          <w:color w:val="auto"/>
        </w:rPr>
      </w:pPr>
      <w:r>
        <w:rPr>
          <w:rFonts w:ascii="Times New Roman" w:cs="Times New Roman" w:eastAsia="Times New Roman" w:hAnsi="Times New Roman"/>
          <w:sz w:val="21"/>
          <w:szCs w:val="21"/>
          <w:color w:val="auto"/>
        </w:rPr>
        <w:t>Meetings of stockholders may be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79"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33" w:lineRule="exact"/>
        <w:rPr>
          <w:sz w:val="20"/>
          <w:szCs w:val="20"/>
          <w:color w:val="auto"/>
        </w:rPr>
      </w:pPr>
    </w:p>
    <w:p>
      <w:pPr>
        <w:ind w:left="10" w:right="40" w:firstLine="648"/>
        <w:spacing w:after="0" w:line="283" w:lineRule="auto"/>
        <w:rPr>
          <w:sz w:val="20"/>
          <w:szCs w:val="20"/>
          <w:color w:val="auto"/>
        </w:rPr>
      </w:pPr>
      <w:r>
        <w:rPr>
          <w:rFonts w:ascii="Times New Roman" w:cs="Times New Roman" w:eastAsia="Times New Roman" w:hAnsi="Times New Roman"/>
          <w:sz w:val="21"/>
          <w:szCs w:val="21"/>
          <w:color w:val="auto"/>
        </w:rPr>
        <w:t>Election of directors at an annual or special meeting of stockholders need not be by written ballot unless the Bylaws of the Corporation shall so provide.</w:t>
      </w:r>
    </w:p>
    <w:p>
      <w:pPr>
        <w:spacing w:after="0" w:line="144"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47" w:lineRule="exact"/>
        <w:rPr>
          <w:sz w:val="20"/>
          <w:szCs w:val="20"/>
          <w:color w:val="auto"/>
        </w:rPr>
      </w:pPr>
    </w:p>
    <w:p>
      <w:pPr>
        <w:jc w:val="both"/>
        <w:ind w:left="10" w:right="20" w:firstLine="663"/>
        <w:spacing w:after="0" w:line="266" w:lineRule="auto"/>
        <w:rPr>
          <w:sz w:val="20"/>
          <w:szCs w:val="20"/>
          <w:color w:val="auto"/>
        </w:rPr>
      </w:pPr>
      <w:r>
        <w:rPr>
          <w:rFonts w:ascii="Times New Roman" w:cs="Times New Roman" w:eastAsia="Times New Roman" w:hAnsi="Times New Roman"/>
          <w:sz w:val="20"/>
          <w:szCs w:val="20"/>
          <w:color w:val="auto"/>
        </w:rPr>
        <w:t>A. At each annual meeting of stockholders, directors of the Corporation shall be elected to hold office until the expiration of the term for which they are elected, and until their successors have been duly elected and qualified. The directors of the Corporation shall be divided into three classes as nearly equal in size as is practicable, hereby designated as Class I, Class</w:t>
      </w:r>
    </w:p>
    <w:p>
      <w:pPr>
        <w:spacing w:after="0" w:line="2" w:lineRule="exact"/>
        <w:rPr>
          <w:sz w:val="20"/>
          <w:szCs w:val="20"/>
          <w:color w:val="auto"/>
        </w:rPr>
      </w:pPr>
    </w:p>
    <w:p>
      <w:pPr>
        <w:jc w:val="both"/>
        <w:ind w:left="10" w:right="20" w:hanging="10"/>
        <w:spacing w:after="0" w:line="252" w:lineRule="auto"/>
        <w:tabs>
          <w:tab w:leader="none" w:pos="23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Class III, each with a term of office to expire at the third succeeding annual meeting after their election, with each director to hold office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2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70"/>
          </w:cols>
          <w:pgMar w:left="650" w:top="1428" w:right="579" w:bottom="1440" w:gutter="0" w:footer="0" w:header="0"/>
        </w:sectPr>
      </w:pPr>
    </w:p>
    <w:bookmarkStart w:id="44" w:name="page45"/>
    <w:bookmarkEnd w:id="44"/>
    <w:p>
      <w:pPr>
        <w:spacing w:after="0" w:line="17" w:lineRule="exact"/>
        <w:rPr>
          <w:sz w:val="20"/>
          <w:szCs w:val="20"/>
          <w:color w:val="auto"/>
        </w:rPr>
      </w:pPr>
    </w:p>
    <w:p>
      <w:pPr>
        <w:jc w:val="both"/>
        <w:ind w:left="380" w:firstLine="655"/>
        <w:spacing w:after="0" w:line="264" w:lineRule="auto"/>
        <w:rPr>
          <w:sz w:val="20"/>
          <w:szCs w:val="20"/>
          <w:color w:val="auto"/>
        </w:rPr>
      </w:pPr>
      <w:r>
        <w:rPr>
          <w:rFonts w:ascii="Times New Roman" w:cs="Times New Roman" w:eastAsia="Times New Roman" w:hAnsi="Times New Roman"/>
          <w:sz w:val="21"/>
          <w:szCs w:val="21"/>
          <w:color w:val="auto"/>
        </w:rPr>
        <w:t>B. Vacancies occurring on the Board of Directors for any reason may be filled by vote of a majority of the remaining members of the Board of Directors, although less than a quorum, at a meeting of the Board of Directors. A person so elected by the Board of Directors to fill a vacancy shall hold office until the next succeeding annual meeting of stockholders of the Corporation and until his or her successor shall have been duly elected and qualified.</w:t>
      </w:r>
    </w:p>
    <w:p>
      <w:pPr>
        <w:spacing w:after="0" w:line="1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33" w:lineRule="exact"/>
        <w:rPr>
          <w:sz w:val="20"/>
          <w:szCs w:val="20"/>
          <w:color w:val="auto"/>
        </w:rPr>
      </w:pPr>
    </w:p>
    <w:p>
      <w:pPr>
        <w:jc w:val="both"/>
        <w:ind w:left="380" w:right="20" w:firstLine="647"/>
        <w:spacing w:after="0" w:line="283" w:lineRule="auto"/>
        <w:rPr>
          <w:sz w:val="20"/>
          <w:szCs w:val="20"/>
          <w:color w:val="auto"/>
        </w:rPr>
      </w:pPr>
      <w:r>
        <w:rPr>
          <w:rFonts w:ascii="Times New Roman" w:cs="Times New Roman" w:eastAsia="Times New Roman" w:hAnsi="Times New Roman"/>
          <w:sz w:val="21"/>
          <w:szCs w:val="21"/>
          <w:color w:val="auto"/>
        </w:rPr>
        <w:t>In furtherance and not in limitation of the powers conferred by statute, the Board of Directors is expressly authorized to make, alter, amend or repeal the Bylaws of the Corporation.</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33" w:lineRule="exact"/>
        <w:rPr>
          <w:sz w:val="20"/>
          <w:szCs w:val="20"/>
          <w:color w:val="auto"/>
        </w:rPr>
      </w:pPr>
    </w:p>
    <w:p>
      <w:pPr>
        <w:jc w:val="both"/>
        <w:ind w:left="380" w:right="20" w:firstLine="634"/>
        <w:spacing w:after="0" w:line="283" w:lineRule="auto"/>
        <w:rPr>
          <w:sz w:val="20"/>
          <w:szCs w:val="20"/>
          <w:color w:val="auto"/>
        </w:rPr>
      </w:pPr>
      <w:r>
        <w:rPr>
          <w:rFonts w:ascii="Times New Roman" w:cs="Times New Roman" w:eastAsia="Times New Roman" w:hAnsi="Times New Roman"/>
          <w:sz w:val="21"/>
          <w:szCs w:val="21"/>
          <w:color w:val="auto"/>
        </w:rPr>
        <w:t>Stockholders of the Corporation may not take action by written consent in lieu of a meeting but must take any actions at a duly called annual or special meeting.</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233" w:lineRule="exact"/>
        <w:rPr>
          <w:sz w:val="20"/>
          <w:szCs w:val="20"/>
          <w:color w:val="auto"/>
        </w:rPr>
      </w:pPr>
    </w:p>
    <w:p>
      <w:pPr>
        <w:jc w:val="both"/>
        <w:ind w:left="360" w:firstLine="667"/>
        <w:spacing w:after="0" w:line="255" w:lineRule="auto"/>
        <w:rPr>
          <w:sz w:val="20"/>
          <w:szCs w:val="20"/>
          <w:color w:val="auto"/>
        </w:rPr>
      </w:pPr>
      <w:r>
        <w:rPr>
          <w:rFonts w:ascii="Times New Roman" w:cs="Times New Roman" w:eastAsia="Times New Roman" w:hAnsi="Times New Roman"/>
          <w:sz w:val="21"/>
          <w:szCs w:val="21"/>
          <w:color w:val="auto"/>
        </w:rPr>
        <w:t>Notwithstanding any other provisions of this Certificate of Incorporation or any provision of law which might otherwise permit a lesser vote or no vote, but in addition to any affirmative vote of the holders of the capital stock required by law or this Certificate of Incorporation, the affirmative vote of the holders of at least two-thirds (2/3) of the combined voting power of all of the then-outstanding shares of the Corporation entitled to vote shall be required to alter, amend or repeal Articles X, XII or XIII, or any provisions thereof.</w:t>
      </w:r>
    </w:p>
    <w:p>
      <w:pPr>
        <w:spacing w:after="0" w:line="1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ARTICLE XIII.</w:t>
      </w:r>
    </w:p>
    <w:p>
      <w:pPr>
        <w:spacing w:after="0" w:line="247" w:lineRule="exact"/>
        <w:rPr>
          <w:sz w:val="20"/>
          <w:szCs w:val="20"/>
          <w:color w:val="auto"/>
        </w:rPr>
      </w:pPr>
    </w:p>
    <w:p>
      <w:pPr>
        <w:jc w:val="both"/>
        <w:ind w:left="360" w:firstLine="650"/>
        <w:spacing w:after="0" w:line="262" w:lineRule="auto"/>
        <w:rPr>
          <w:sz w:val="20"/>
          <w:szCs w:val="20"/>
          <w:color w:val="auto"/>
        </w:rPr>
      </w:pPr>
      <w:r>
        <w:rPr>
          <w:rFonts w:ascii="Times New Roman" w:cs="Times New Roman" w:eastAsia="Times New Roman" w:hAnsi="Times New Roman"/>
          <w:sz w:val="21"/>
          <w:szCs w:val="21"/>
          <w:color w:val="auto"/>
        </w:rPr>
        <w:t>The Corporation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173" w:lineRule="exact"/>
        <w:rPr>
          <w:sz w:val="20"/>
          <w:szCs w:val="20"/>
          <w:color w:val="auto"/>
        </w:rPr>
      </w:pPr>
    </w:p>
    <w:p>
      <w:pPr>
        <w:jc w:val="center"/>
        <w:ind w:right="-219"/>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363" w:lineRule="exact"/>
        <w:rPr>
          <w:sz w:val="20"/>
          <w:szCs w:val="20"/>
          <w:color w:val="auto"/>
        </w:rPr>
      </w:pPr>
    </w:p>
    <w:p>
      <w:pPr>
        <w:ind w:left="360" w:right="640" w:firstLine="842"/>
        <w:spacing w:after="0" w:line="283" w:lineRule="auto"/>
        <w:rPr>
          <w:sz w:val="20"/>
          <w:szCs w:val="20"/>
          <w:color w:val="auto"/>
        </w:rPr>
      </w:pPr>
      <w:r>
        <w:rPr>
          <w:rFonts w:ascii="Times New Roman" w:cs="Times New Roman" w:eastAsia="Times New Roman" w:hAnsi="Times New Roman"/>
          <w:sz w:val="21"/>
          <w:szCs w:val="21"/>
          <w:color w:val="auto"/>
        </w:rPr>
        <w:t>IN WITNESS WHEREOF, this Fifth Amended and Restated Certificate of Incorporation has been executed on behalf of the Corporation by its Chief Legal Officer and Secretary this 24th day of April, 2025.</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SILICON LABORATORIES INC.</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Nestor Ho</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Nestor Ho</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Chief Legal Officer &amp; Secretary</w:t>
      </w:r>
    </w:p>
    <w:p>
      <w:pPr>
        <w:spacing w:after="0" w:line="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0"/>
          </w:cols>
          <w:pgMar w:left="320" w:top="1440" w:right="5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Matthew Johnson,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43376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each of the undersigned officers of Silicon Laboratories Inc. (the “Company”) hereby certifies that:</w:t>
      </w:r>
    </w:p>
    <w:p>
      <w:pPr>
        <w:spacing w:after="0" w:line="162" w:lineRule="exact"/>
        <w:rPr>
          <w:sz w:val="20"/>
          <w:szCs w:val="20"/>
          <w:color w:val="auto"/>
        </w:rPr>
      </w:pPr>
    </w:p>
    <w:p>
      <w:pPr>
        <w:jc w:val="both"/>
        <w:ind w:firstLine="332"/>
        <w:spacing w:after="0" w:line="266" w:lineRule="auto"/>
        <w:tabs>
          <w:tab w:leader="none" w:pos="6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July 5, 2025 as filed with the Securities and Exchange Commission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right="220" w:firstLine="332"/>
        <w:spacing w:after="0" w:line="532" w:lineRule="auto"/>
        <w:tabs>
          <w:tab w:leader="none" w:pos="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5, 2025</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1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abstractNum>
  <w:abstractNum w:abstractNumId="24">
    <w:nsid w:val="836C40E"/>
    <w:multiLevelType w:val="hybridMultilevel"/>
    <w:lvl w:ilvl="0">
      <w:lvlJc w:val="left"/>
      <w:lvlText w:val="%1"/>
      <w:numFmt w:val="decimal"/>
      <w:start w:val="1"/>
    </w:lvl>
    <w:lvl w:ilvl="1">
      <w:lvlJc w:val="left"/>
      <w:lvlText w:val="%2."/>
      <w:numFmt w:val="decimal"/>
      <w:start w:val="1"/>
    </w:lvl>
  </w:abstractNum>
  <w:abstractNum w:abstractNumId="25">
    <w:nsid w:val="2901D82"/>
    <w:multiLevelType w:val="hybridMultilevel"/>
    <w:lvl w:ilvl="0">
      <w:lvlJc w:val="left"/>
      <w:lvlText w:val="%1."/>
      <w:numFmt w:val="decimal"/>
      <w:start w:val="2"/>
    </w:lvl>
    <w:lvl w:ilvl="1">
      <w:lvlJc w:val="left"/>
      <w:lvlText w:val="%2"/>
      <w:numFmt w:val="decimal"/>
      <w:start w:val="1"/>
    </w:lvl>
  </w:abstractNum>
  <w:abstractNum w:abstractNumId="26">
    <w:nsid w:val="3A95F874"/>
    <w:multiLevelType w:val="hybridMultilevel"/>
    <w:lvl w:ilvl="0">
      <w:lvlJc w:val="left"/>
      <w:lvlText w:val="%1."/>
      <w:numFmt w:val="upperLetter"/>
      <w:start w:val="2"/>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upperLetter"/>
      <w:start w:val="35"/>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2" Type="http://schemas.openxmlformats.org/officeDocument/2006/relationships/hyperlink" Target="https://www.sec.gov/Archives/edgar/data/1038074/000110465923048435/tm2313328d2_ex3-1.htm" TargetMode="External"/><Relationship Id="rId53" Type="http://schemas.openxmlformats.org/officeDocument/2006/relationships/hyperlink" Target="https://www.sec.gov/Archives/edgar/data/1038074/0000912057-00-012321-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2025-08-05T08:16:36Z</dcterms:created>
  <dcterms:modified xsi:type="dcterms:W3CDTF">2025-08-05T08:16:36Z</dcterms:modified>
</cp:coreProperties>
</file>