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354965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0" w:lineRule="exact"/>
        <w:rPr>
          <w:sz w:val="24"/>
          <w:szCs w:val="24"/>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January 3, 2026</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06" w:lineRule="exact"/>
        <w:rPr>
          <w:sz w:val="24"/>
          <w:szCs w:val="24"/>
          <w:color w:val="auto"/>
        </w:rPr>
      </w:pPr>
    </w:p>
    <w:p>
      <w:pPr>
        <w:ind w:left="360" w:hanging="336"/>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For the transition period from _________to _________</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000-29823</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SILICON LABORATORIES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3"/>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60" w:type="dxa"/>
            <w:vAlign w:val="bottom"/>
          </w:tcPr>
          <w:p>
            <w:pPr>
              <w:spacing w:after="0"/>
              <w:rPr>
                <w:sz w:val="14"/>
                <w:szCs w:val="14"/>
                <w:color w:val="auto"/>
              </w:rPr>
            </w:pPr>
          </w:p>
        </w:tc>
        <w:tc>
          <w:tcPr>
            <w:tcW w:w="3880" w:type="dxa"/>
            <w:vAlign w:val="bottom"/>
            <w:gridSpan w:val="3"/>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74-2793174</w:t>
            </w:r>
          </w:p>
        </w:tc>
      </w:tr>
      <w:tr>
        <w:trPr>
          <w:trHeight w:val="185"/>
        </w:trPr>
        <w:tc>
          <w:tcPr>
            <w:tcW w:w="7340" w:type="dxa"/>
            <w:vAlign w:val="bottom"/>
            <w:gridSpan w:val="4"/>
          </w:tcPr>
          <w:p>
            <w:pPr>
              <w:jc w:val="center"/>
              <w:ind w:right="162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80" w:type="dxa"/>
            <w:vAlign w:val="bottom"/>
            <w:gridSpan w:val="3"/>
          </w:tcPr>
          <w:p>
            <w:pPr>
              <w:jc w:val="center"/>
              <w:ind w:right="162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6"/>
        </w:trPr>
        <w:tc>
          <w:tcPr>
            <w:tcW w:w="3980" w:type="dxa"/>
            <w:vAlign w:val="bottom"/>
            <w:gridSpan w:val="3"/>
          </w:tcPr>
          <w:p>
            <w:pPr>
              <w:jc w:val="center"/>
              <w:ind w:left="1589"/>
              <w:spacing w:after="0"/>
              <w:rPr>
                <w:sz w:val="20"/>
                <w:szCs w:val="20"/>
                <w:color w:val="auto"/>
              </w:rPr>
            </w:pPr>
            <w:r>
              <w:rPr>
                <w:rFonts w:ascii="Times New Roman" w:cs="Times New Roman" w:eastAsia="Times New Roman" w:hAnsi="Times New Roman"/>
                <w:sz w:val="14"/>
                <w:szCs w:val="14"/>
                <w:b w:val="1"/>
                <w:bCs w:val="1"/>
                <w:color w:val="auto"/>
              </w:rPr>
              <w:t>400 West Cesar Chavez, Austin, Texas</w:t>
            </w:r>
          </w:p>
        </w:tc>
        <w:tc>
          <w:tcPr>
            <w:tcW w:w="3360" w:type="dxa"/>
            <w:vAlign w:val="bottom"/>
          </w:tcPr>
          <w:p>
            <w:pPr>
              <w:spacing w:after="0"/>
              <w:rPr>
                <w:sz w:val="22"/>
                <w:szCs w:val="22"/>
                <w:color w:val="auto"/>
              </w:rPr>
            </w:pPr>
          </w:p>
        </w:tc>
        <w:tc>
          <w:tcPr>
            <w:tcW w:w="3880" w:type="dxa"/>
            <w:vAlign w:val="bottom"/>
            <w:gridSpan w:val="3"/>
          </w:tcPr>
          <w:p>
            <w:pPr>
              <w:jc w:val="right"/>
              <w:ind w:right="2529"/>
              <w:spacing w:after="0"/>
              <w:rPr>
                <w:sz w:val="20"/>
                <w:szCs w:val="20"/>
                <w:color w:val="auto"/>
              </w:rPr>
            </w:pPr>
            <w:r>
              <w:rPr>
                <w:rFonts w:ascii="Times New Roman" w:cs="Times New Roman" w:eastAsia="Times New Roman" w:hAnsi="Times New Roman"/>
                <w:sz w:val="14"/>
                <w:szCs w:val="14"/>
                <w:b w:val="1"/>
                <w:bCs w:val="1"/>
                <w:color w:val="auto"/>
              </w:rPr>
              <w:t>78701</w:t>
            </w:r>
          </w:p>
        </w:tc>
      </w:tr>
      <w:tr>
        <w:trPr>
          <w:trHeight w:val="185"/>
        </w:trPr>
        <w:tc>
          <w:tcPr>
            <w:tcW w:w="3980" w:type="dxa"/>
            <w:vAlign w:val="bottom"/>
            <w:gridSpan w:val="3"/>
          </w:tcPr>
          <w:p>
            <w:pPr>
              <w:jc w:val="center"/>
              <w:ind w:left="15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29"/>
              <w:spacing w:after="0"/>
              <w:rPr>
                <w:sz w:val="20"/>
                <w:szCs w:val="20"/>
                <w:color w:val="auto"/>
              </w:rPr>
            </w:pPr>
            <w:r>
              <w:rPr>
                <w:rFonts w:ascii="Times New Roman" w:cs="Times New Roman" w:eastAsia="Times New Roman" w:hAnsi="Times New Roman"/>
                <w:sz w:val="14"/>
                <w:szCs w:val="14"/>
                <w:color w:val="auto"/>
              </w:rPr>
              <w:t>(Zip Code)</w:t>
            </w:r>
          </w:p>
        </w:tc>
      </w:tr>
      <w:tr>
        <w:trPr>
          <w:trHeight w:val="322"/>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(512) 416-8500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5"/>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9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3"/>
        </w:trPr>
        <w:tc>
          <w:tcPr>
            <w:tcW w:w="3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82"/>
        </w:trPr>
        <w:tc>
          <w:tcPr>
            <w:tcW w:w="3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33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SLAB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35" w:lineRule="exact"/>
        <w:rPr>
          <w:sz w:val="24"/>
          <w:szCs w:val="24"/>
          <w:color w:val="auto"/>
        </w:rPr>
      </w:pPr>
    </w:p>
    <w:p>
      <w:pPr>
        <w:ind w:left="320" w:right="3300"/>
        <w:spacing w:after="0" w:line="22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7" w:lineRule="exact"/>
        <w:rPr>
          <w:sz w:val="24"/>
          <w:szCs w:val="24"/>
          <w:color w:val="auto"/>
        </w:rPr>
      </w:pPr>
    </w:p>
    <w:p>
      <w:pPr>
        <w:ind w:right="140" w:firstLine="3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ind w:right="380" w:firstLine="3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220" w:firstLine="3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ind w:left="360"/>
        <w:spacing w:after="0" w:line="161" w:lineRule="exact"/>
        <w:tabs>
          <w:tab w:leader="none" w:pos="2680" w:val="left"/>
          <w:tab w:leader="none" w:pos="4440" w:val="left"/>
          <w:tab w:leader="none" w:pos="6480" w:val="left"/>
          <w:tab w:leader="none" w:pos="88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91" w:lineRule="exact"/>
        <w:rPr>
          <w:sz w:val="24"/>
          <w:szCs w:val="24"/>
          <w:color w:val="auto"/>
        </w:rPr>
      </w:pPr>
    </w:p>
    <w:p>
      <w:pPr>
        <w:ind w:right="360" w:firstLine="320"/>
        <w:spacing w:after="0" w:line="288"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300" w:firstLine="3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60" w:firstLine="320"/>
        <w:spacing w:after="0" w:line="293"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60" w:firstLine="320"/>
        <w:spacing w:after="0" w:line="275"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4"/>
          <w:szCs w:val="14"/>
          <w:b w:val="1"/>
          <w:bCs w:val="1"/>
          <w:color w:val="auto"/>
        </w:rPr>
        <w:t>o</w:t>
      </w: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77" w:lineRule="exact"/>
        <w:rPr>
          <w:sz w:val="24"/>
          <w:szCs w:val="24"/>
          <w:color w:val="auto"/>
        </w:rPr>
      </w:pPr>
    </w:p>
    <w:p>
      <w:pPr>
        <w:ind w:right="100" w:firstLine="32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(July 5, 2025) was approximately $5.0 billion (assuming, for this purpose, that only directors and officers are deemed affiliates).</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32,955,929 shares of the registrant’s common stock issued and outstanding as of January 30, 2026.</w:t>
      </w:r>
    </w:p>
    <w:p>
      <w:pPr>
        <w:spacing w:after="0" w:line="10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3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Portions of the Proxy Statement for the registrant’s 2026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661670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81915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107315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17"/>
                <w:szCs w:val="17"/>
                <w:color w:val="auto"/>
              </w:rPr>
            </w:pPr>
          </w:p>
        </w:tc>
      </w:tr>
      <w:tr>
        <w:trPr>
          <w:trHeight w:val="4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w:t>
            </w:r>
          </w:p>
        </w:tc>
      </w:tr>
      <w:tr>
        <w:trPr>
          <w:trHeight w:val="38"/>
        </w:trPr>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0000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0000FF"/>
                <w:w w:val="96"/>
              </w:rPr>
              <w:t>Part I</w:t>
            </w:r>
          </w:p>
        </w:tc>
        <w:tc>
          <w:tcPr>
            <w:tcW w:w="880" w:type="dxa"/>
            <w:vAlign w:val="bottom"/>
            <w:tcBorders>
              <w:bottom w:val="single" w:sz="8" w:color="CCEEFF"/>
            </w:tcBorders>
            <w:gridSpan w:val="7"/>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2</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0000FF"/>
            </w:tcBorders>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1A.</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0000FF"/>
            </w:tcBorders>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7"/>
              </w:rPr>
              <w:t>Risk Factors</w:t>
            </w:r>
          </w:p>
        </w:tc>
        <w:tc>
          <w:tcPr>
            <w:tcW w:w="8140" w:type="dxa"/>
            <w:vAlign w:val="bottom"/>
            <w:tcBorders>
              <w:bottom w:val="single" w:sz="8" w:color="CCEEFF"/>
            </w:tcBorders>
            <w:gridSpan w:val="21"/>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w:t>
            </w: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1B.</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29</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1C.</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29</w:t>
            </w:r>
          </w:p>
        </w:tc>
      </w:tr>
      <w:tr>
        <w:trPr>
          <w:trHeight w:val="200"/>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20" w:type="dxa"/>
            <w:vAlign w:val="bottom"/>
            <w:tcBorders>
              <w:top w:val="single" w:sz="8" w:color="0000FF"/>
            </w:tcBorders>
            <w:gridSpan w:val="6"/>
          </w:tcPr>
          <w:p>
            <w:pPr>
              <w:spacing w:after="0" w:line="201" w:lineRule="exact"/>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Borders>
              <w:top w:val="single" w:sz="8" w:color="CCEEFF"/>
            </w:tcBorders>
            <w:gridSpan w:val="2"/>
          </w:tcPr>
          <w:p>
            <w:pPr>
              <w:spacing w:after="0"/>
              <w:rPr>
                <w:sz w:val="17"/>
                <w:szCs w:val="17"/>
                <w:color w:val="auto"/>
              </w:rPr>
            </w:pPr>
          </w:p>
        </w:tc>
        <w:tc>
          <w:tcPr>
            <w:tcW w:w="1000" w:type="dxa"/>
            <w:vAlign w:val="bottom"/>
            <w:tcBorders>
              <w:top w:val="single" w:sz="8" w:color="0000FF"/>
            </w:tcBorders>
            <w:gridSpan w:val="5"/>
          </w:tcPr>
          <w:p>
            <w:pPr>
              <w:spacing w:after="0" w:line="201" w:lineRule="exact"/>
              <w:rPr>
                <w:sz w:val="20"/>
                <w:szCs w:val="20"/>
                <w:color w:val="auto"/>
              </w:rPr>
            </w:pPr>
            <w:r>
              <w:rPr>
                <w:rFonts w:ascii="Times New Roman" w:cs="Times New Roman" w:eastAsia="Times New Roman" w:hAnsi="Times New Roman"/>
                <w:sz w:val="18"/>
                <w:szCs w:val="18"/>
                <w:color w:val="0000FF"/>
              </w:rPr>
              <w:t>Properties</w:t>
            </w:r>
          </w:p>
        </w:tc>
        <w:tc>
          <w:tcPr>
            <w:tcW w:w="8040" w:type="dxa"/>
            <w:vAlign w:val="bottom"/>
            <w:tcBorders>
              <w:top w:val="single" w:sz="8" w:color="CCEEFF"/>
            </w:tcBorders>
            <w:gridSpan w:val="20"/>
          </w:tcPr>
          <w:p>
            <w:pPr>
              <w:spacing w:after="0"/>
              <w:rPr>
                <w:sz w:val="17"/>
                <w:szCs w:val="17"/>
                <w:color w:val="auto"/>
              </w:rPr>
            </w:pPr>
          </w:p>
        </w:tc>
        <w:tc>
          <w:tcPr>
            <w:tcW w:w="900" w:type="dxa"/>
            <w:vAlign w:val="bottom"/>
            <w:tcBorders>
              <w:top w:val="single" w:sz="8" w:color="CCEEFF"/>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31</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3.</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31</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31</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0000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Part II</w:t>
            </w:r>
          </w:p>
        </w:tc>
        <w:tc>
          <w:tcPr>
            <w:tcW w:w="820" w:type="dxa"/>
            <w:vAlign w:val="bottom"/>
            <w:tcBorders>
              <w:bottom w:val="single" w:sz="8" w:color="CCEEFF"/>
            </w:tcBorders>
            <w:gridSpan w:val="6"/>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32</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33</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7.</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34</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7A.</w:t>
            </w:r>
          </w:p>
        </w:tc>
        <w:tc>
          <w:tcPr>
            <w:tcW w:w="400" w:type="dxa"/>
            <w:vAlign w:val="bottom"/>
            <w:shd w:val="clear" w:color="auto" w:fill="CCEEFF"/>
          </w:tcPr>
          <w:p>
            <w:pPr>
              <w:spacing w:after="0"/>
              <w:rPr>
                <w:sz w:val="21"/>
                <w:szCs w:val="21"/>
                <w:color w:val="auto"/>
              </w:rPr>
            </w:pP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40</w:t>
            </w:r>
          </w:p>
        </w:tc>
      </w:tr>
      <w:tr>
        <w:trPr>
          <w:trHeight w:val="200"/>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gridSpan w:val="7"/>
          </w:tcPr>
          <w:p>
            <w:pPr>
              <w:spacing w:after="0" w:line="201" w:lineRule="exact"/>
              <w:rPr>
                <w:sz w:val="20"/>
                <w:szCs w:val="20"/>
                <w:color w:val="auto"/>
              </w:rPr>
            </w:pPr>
            <w:r>
              <w:rPr>
                <w:rFonts w:ascii="Times New Roman" w:cs="Times New Roman" w:eastAsia="Times New Roman" w:hAnsi="Times New Roman"/>
                <w:sz w:val="18"/>
                <w:szCs w:val="18"/>
                <w:color w:val="0000FF"/>
              </w:rPr>
              <w:t>Item 8.</w:t>
            </w:r>
          </w:p>
        </w:tc>
        <w:tc>
          <w:tcPr>
            <w:tcW w:w="400" w:type="dxa"/>
            <w:vAlign w:val="bottom"/>
            <w:tcBorders>
              <w:top w:val="single" w:sz="8" w:color="CCEEFF"/>
            </w:tcBorders>
          </w:tcPr>
          <w:p>
            <w:pPr>
              <w:spacing w:after="0"/>
              <w:rPr>
                <w:sz w:val="17"/>
                <w:szCs w:val="17"/>
                <w:color w:val="auto"/>
              </w:rPr>
            </w:pPr>
          </w:p>
        </w:tc>
        <w:tc>
          <w:tcPr>
            <w:tcW w:w="4260" w:type="dxa"/>
            <w:vAlign w:val="bottom"/>
            <w:tcBorders>
              <w:top w:val="single" w:sz="8" w:color="0000FF"/>
            </w:tcBorders>
            <w:gridSpan w:val="17"/>
          </w:tcPr>
          <w:p>
            <w:pPr>
              <w:spacing w:after="0" w:line="201"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80" w:type="dxa"/>
            <w:vAlign w:val="bottom"/>
            <w:tcBorders>
              <w:top w:val="single" w:sz="8" w:color="CCEEFF"/>
            </w:tcBorders>
            <w:gridSpan w:val="8"/>
          </w:tcPr>
          <w:p>
            <w:pPr>
              <w:spacing w:after="0"/>
              <w:rPr>
                <w:sz w:val="17"/>
                <w:szCs w:val="17"/>
                <w:color w:val="auto"/>
              </w:rPr>
            </w:pPr>
          </w:p>
        </w:tc>
        <w:tc>
          <w:tcPr>
            <w:tcW w:w="900" w:type="dxa"/>
            <w:vAlign w:val="bottom"/>
            <w:tcBorders>
              <w:top w:val="single" w:sz="8" w:color="CCEEFF"/>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41</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9.</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41</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9A.</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41</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9B.</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9C.</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7"/>
              </w:rPr>
              <w:t>Part III</w:t>
            </w:r>
          </w:p>
        </w:tc>
        <w:tc>
          <w:tcPr>
            <w:tcW w:w="760" w:type="dxa"/>
            <w:vAlign w:val="bottom"/>
            <w:tcBorders>
              <w:bottom w:val="single" w:sz="8" w:color="CCEEFF"/>
            </w:tcBorders>
            <w:gridSpan w:val="5"/>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10.</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11.</w:t>
            </w:r>
          </w:p>
        </w:tc>
        <w:tc>
          <w:tcPr>
            <w:tcW w:w="440" w:type="dxa"/>
            <w:vAlign w:val="bottom"/>
            <w:gridSpan w:val="3"/>
            <w:shd w:val="clear" w:color="auto" w:fill="CCEEFF"/>
          </w:tcPr>
          <w:p>
            <w:pPr>
              <w:spacing w:after="0"/>
              <w:rPr>
                <w:sz w:val="17"/>
                <w:szCs w:val="17"/>
                <w:color w:val="auto"/>
              </w:rPr>
            </w:pP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12.</w:t>
            </w:r>
          </w:p>
        </w:tc>
        <w:tc>
          <w:tcPr>
            <w:tcW w:w="440" w:type="dxa"/>
            <w:vAlign w:val="bottom"/>
            <w:gridSpan w:val="3"/>
          </w:tcPr>
          <w:p>
            <w:pPr>
              <w:spacing w:after="0"/>
              <w:rPr>
                <w:sz w:val="17"/>
                <w:szCs w:val="17"/>
                <w:color w:val="auto"/>
              </w:rPr>
            </w:pP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FF"/>
            </w:tcBorders>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13.</w:t>
            </w: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5400" w:type="dxa"/>
            <w:vAlign w:val="bottom"/>
            <w:tcBorders>
              <w:bottom w:val="single" w:sz="8" w:color="0000FF"/>
            </w:tcBorders>
            <w:gridSpan w:val="20"/>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3640" w:type="dxa"/>
            <w:vAlign w:val="bottom"/>
            <w:tcBorders>
              <w:bottom w:val="single" w:sz="8" w:color="CCEEFF"/>
            </w:tcBorders>
            <w:gridSpan w:val="5"/>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14.</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43</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128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Part IV</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15.</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44</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1280" w:type="dxa"/>
            <w:vAlign w:val="bottom"/>
            <w:gridSpan w:val="9"/>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16.</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46</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Cautionary Statement</w:t>
      </w:r>
    </w:p>
    <w:p>
      <w:pPr>
        <w:spacing w:after="0" w:line="218"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and statements that relate solely to historical facts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Silicon Laboratories Inc. is a leader in secure, intelligent wireless technology for a more connected world. Our integrated hardware and software platforms, intuitive development tools, industry-leading ecosystem, and robust support help customers build advanced devices for industrial, commercial, home, and life applications. We make it easy for developers to solve complex wireless challenges throughout the product lifecycle and get to market quickly with innovative solutions that transform industries, grow economies, and improve lives. </w:t>
      </w:r>
    </w:p>
    <w:p>
      <w:pPr>
        <w:spacing w:after="0" w:line="181"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We are pioneers in wireless innovation and have spent over two decades simplifying the complexity of radio frequency (“RF”) from silicon to cloud. Our leading platform, purpose-built for the Internet of Things (“IoT”), helps customers quickly create secure, intelligent, wireless connected devices. Our team and technology assist customers in solving development challenges, including energy efficiency, to build connected devices for applications that support better health, innovative infrastructure, and sustainable cities.</w:t>
      </w:r>
    </w:p>
    <w:p>
      <w:pPr>
        <w:spacing w:after="0" w:line="181"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semiconductor devices leverage standard complementary metal oxide semiconductor (“CMOS”), a low-cost, widely available process technology. CMOS technology enables smaller, more cost-effective, and energy-efficient solutions. Our software expertise allows us to develop products for markets where intelligent data capture, high-performance processing, and communication are increasingly important product differentiators. We also focus design and engineering efforts on technologies that simplify and accelerate customer adoption of security features engineered into our silicon chips. Our expertise in analog-intensive, mixed-signal integrated chip (“IC”) design in CMOS, as well as in software development allows us to create new and innovative products that are highly integrated and secure, simplifying our customers’ designs and improving their time-to-market.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Texas Instruments</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On February 4, 2026, we entered into an Agreement and Plan of Merger (the “Merger Agreement”) with Texas Instruments Incorporated, a Delaware corporation (“Parent”), and Caldwell Merger Corp., a Delaware corporation and wholly-owned direct subsidiary of Parent (“Merger Subsidiary”), pursuant to which Merger Subsidiary will merge with and into Silicon Laboratories Inc. (the “Merger”), and we will survive the Merger as a wholly-owned direct subsidiary of Parent. At the effective time of the Merger, each share of our common stock outstanding as of immediately prior to the effective time (other than dissenting shares or any shares of our common stock held by us as treasury stock or owned by Parent or any of our or Parent’s subsidiaries) will be cancelled and converted into the right to receive $231.00 in cash, without interest. The transactions contemplated by the Merger Agreement were unanimously approved by our board of directors, and the Merger is expected to close in the first half of 2027, subject to customary closing conditions, including approval by our stockholders and the receipt of required regulatory approvals.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4"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The Internet of Things is about connecting embedded applications to the Internet. The phrase IoT describes the myriad of smart, connected devices that surround us today, deployed in a variety of home, life, commercial, and industrial applications. When MIT’s Kevin Ashton first used the phrase in 1999, he was promoting the possibilities of RFID, but today, the IoT describes an impressive array of devices and capabilities. Machine learning is bringing greater intelligence to the edge on battery-powered devices. The IoT is monitoring patients’ health 24/7 to send rich data to doctors miles away. Smart, connected devices detect water leaks to improve sustainability. It’s an industry of variety and impact. Whether in a door lock or a heart monitor, a smart home thermostat, or a municipal energy grid, our solutions are improving life and the planet’s sustainability.</w:t>
      </w:r>
    </w:p>
    <w:p>
      <w:pPr>
        <w:spacing w:after="0" w:line="185"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The IoT requires interaction between the analog world we live in and the digital world of computing, which drives the need for analog-intensive, mixed-signal circuits in a wide range of electronic products. Traditional mixed-signal designs relied upon solutions built with numerous, complex discrete analog and digital components. While these traditional designs provide the required functionality, they are often inefficient and inadequate for use in markets where size, cost, power consumption, performance, and security are increasingly important product differentiators. To improve their competitive position, electronics manufacturers must reduce the cost and complexity of their systems and enable new features or functionality to differentiate themselves from their competitors.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Simultaneously, these manufacturers face accelerating time-to-market demands and must rapidly adapt to evolving industry standards and new technologies. Because analog-intensive, mixed-signal design expertise is difficult to find, these manufacturers increasingly are turning to third parties, like us, to provide advanced mixed-signal solutions. Mixed-signal design requires specific expertise and relies on creative, experienced engineers to deliver solutions that optimize speed, power, and performance despite the noisy digital environment and within the constraints of standard manufacturing processes. The development of this design expertise typically requires years of practical analog design experience under the guidance of a senior engineer, and engineers with the required level of skill and expertise are in short supply.</w:t>
      </w:r>
    </w:p>
    <w:p>
      <w:pPr>
        <w:spacing w:after="0" w:line="185" w:lineRule="exact"/>
        <w:rPr>
          <w:sz w:val="20"/>
          <w:szCs w:val="20"/>
          <w:color w:val="auto"/>
        </w:rPr>
      </w:pPr>
    </w:p>
    <w:p>
      <w:pPr>
        <w:ind w:right="380" w:firstLine="320"/>
        <w:spacing w:after="0" w:line="257" w:lineRule="auto"/>
        <w:rPr>
          <w:sz w:val="20"/>
          <w:szCs w:val="20"/>
          <w:color w:val="auto"/>
        </w:rPr>
      </w:pPr>
      <w:r>
        <w:rPr>
          <w:rFonts w:ascii="Times New Roman" w:cs="Times New Roman" w:eastAsia="Times New Roman" w:hAnsi="Times New Roman"/>
          <w:sz w:val="18"/>
          <w:szCs w:val="18"/>
          <w:color w:val="auto"/>
        </w:rPr>
        <w:t>Many IC solution providers lack sufficient analog expertise to develop compelling mixed-signal products. As a result, manufacturers of electronic devices value providers that can supply them with mixed-signal solutions offering greater functionality, smaller size, and lower power requirements at a reduced cost and shorter time-to-market. We have the breadth in our portfolio, depth of wireless connectivity expertise, and the focus on IoT to help our customers quickly bring their innovative ideas to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4"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We provide analog-intensive, mixed-signal solutions for use in a variety of electronic products in a broad range of applications for the IoT. We have built a leading wireless development platform and product portfolio for the IoT based on Bluetooth®, sub-GHz proprietary technologies, Wi - SUN, Thread, Wi-Fi®, Zigbee®, and Z-Wave®. Our products integrate complex mixed-signal functions that are frequently performed by numerous discrete components in competing products into a single chip, chipset or system-on-chip (“SoC”). By doing so, we create products that, when compared to many competing products, offer the following benefits:</w:t>
      </w:r>
    </w:p>
    <w:p>
      <w:pPr>
        <w:spacing w:after="0" w:line="186"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less printed circuit board (“PCB”) space;</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use of external components lowering the system cost and simplifying design;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superior performance improving our customers’ end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increased reliability and manufacturability, improving customer yields; and/or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system power requirements enabling smaller form factors and/or longer battery life.</w:t>
      </w:r>
    </w:p>
    <w:p>
      <w:pPr>
        <w:spacing w:after="0" w:line="201"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We have continued to diversify our product portfolio and introduce new products and solutions through both organic investment and acquisitions. The life cycles of our products are relatively long, given the amount of effort and time required in the design-in process for our customers.</w:t>
      </w:r>
    </w:p>
    <w:p>
      <w:pPr>
        <w:spacing w:after="0" w:line="163" w:lineRule="exact"/>
        <w:rPr>
          <w:sz w:val="20"/>
          <w:szCs w:val="20"/>
          <w:color w:val="auto"/>
        </w:rPr>
      </w:pPr>
    </w:p>
    <w:p>
      <w:pPr>
        <w:ind w:right="520" w:firstLine="320"/>
        <w:spacing w:after="0" w:line="277" w:lineRule="auto"/>
        <w:rPr>
          <w:sz w:val="20"/>
          <w:szCs w:val="20"/>
          <w:color w:val="auto"/>
        </w:rPr>
      </w:pPr>
      <w:r>
        <w:rPr>
          <w:rFonts w:ascii="Times New Roman" w:cs="Times New Roman" w:eastAsia="Times New Roman" w:hAnsi="Times New Roman"/>
          <w:sz w:val="18"/>
          <w:szCs w:val="18"/>
          <w:color w:val="auto"/>
        </w:rPr>
        <w:t>Revenues during fiscal 2025, 2024 and 2023 were generated predominately by sales of our mixed-signal products. The following summarizes the products that we have introduced to customers: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Microcontrollers</w:t>
      </w:r>
    </w:p>
    <w:p>
      <w:pPr>
        <w:spacing w:after="0" w:line="222"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Our EFM32™, EFM8™, 8051, wireless MCUs and wireless SoCs are based on numerous wireless protocols, including Bluetooth, sub-GHz proprietary technologies, Thread, Wi-Fi, Zigbee, and Z-Wave technologies. Our family of products are ideally suited to ultra-low power IoT embedded systems that include energy-friendly 8-bit mixed-signal microcontrollers, ultra-low power 32-bit microcontrollers, and wireless MCU connectivity solutions using the ARM® Cortex-M0+/M3/M4 and newer M33 cores. Single and multi-protocol SoC devices and modules provide flexible, highly integrated solutions designed to meet demanding requirements of IoT applications. The introduction of our Series 2 portfolio in 2019 provided a greater focus on updatable device security which is becoming vital to the evolution and success of IoT. Now, our Series 3 portfolio, which released its first product in 2025, leverages the 22 nm process node to provide greater compute, interoperability, and energy efficiency for even more advanced workloads. We bring enhanced capability to the industry, protecting user data, system keys, and manufacturer brands from malicious threats, both hands-on and internet-based. Our broad portfolio addresses a variety of target markets.</w:t>
      </w:r>
    </w:p>
    <w:p>
      <w:pPr>
        <w:spacing w:after="0" w:line="187" w:lineRule="exact"/>
        <w:rPr>
          <w:sz w:val="20"/>
          <w:szCs w:val="20"/>
          <w:color w:val="auto"/>
        </w:rPr>
      </w:pPr>
    </w:p>
    <w:p>
      <w:pPr>
        <w:jc w:val="both"/>
        <w:ind w:right="180" w:firstLine="320"/>
        <w:spacing w:after="0" w:line="262" w:lineRule="auto"/>
        <w:rPr>
          <w:sz w:val="20"/>
          <w:szCs w:val="20"/>
          <w:color w:val="auto"/>
        </w:rPr>
      </w:pPr>
      <w:r>
        <w:rPr>
          <w:rFonts w:ascii="Times New Roman" w:cs="Times New Roman" w:eastAsia="Times New Roman" w:hAnsi="Times New Roman"/>
          <w:sz w:val="18"/>
          <w:szCs w:val="18"/>
          <w:color w:val="auto"/>
        </w:rPr>
        <w:t>Our products are supported by Simplicity Studio™, which provides one-click access to design tools, documentation, software, and support resources, and help simplify software development for IoT developers by coordinating and prioritizing multiprotocol connectivity, SoC peripherals and other system-level activities.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We group our products as Industrial &amp; Commercial or Home &amp; Life based on the target markets they address. These markets and their corresponding applications are described below:</w:t>
      </w:r>
    </w:p>
    <w:p>
      <w:pPr>
        <w:spacing w:after="0" w:line="212" w:lineRule="exact"/>
        <w:rPr>
          <w:sz w:val="20"/>
          <w:szCs w:val="20"/>
          <w:color w:val="auto"/>
        </w:rPr>
      </w:pPr>
    </w:p>
    <w:p>
      <w:pPr>
        <w:ind w:left="326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Target Market</w:t>
      </w:r>
      <w:r>
        <w:rPr>
          <w:sz w:val="20"/>
          <w:szCs w:val="20"/>
          <w:color w:val="auto"/>
        </w:rPr>
        <w:tab/>
      </w:r>
      <w:r>
        <w:rPr>
          <w:rFonts w:ascii="Times New Roman" w:cs="Times New Roman" w:eastAsia="Times New Roman" w:hAnsi="Times New Roman"/>
          <w:sz w:val="17"/>
          <w:szCs w:val="17"/>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Industrial &amp; Commercial</w:t>
      </w:r>
    </w:p>
    <w:p>
      <w:pPr>
        <w:sectPr>
          <w:pgSz w:w="11900" w:h="16838" w:orient="portrait"/>
          <w:cols w:equalWidth="0" w:num="1">
            <w:col w:w="10940"/>
          </w:cols>
          <w:pgMar w:left="320" w:top="121" w:right="639" w:bottom="1440" w:gutter="0" w:footer="0" w:header="0"/>
        </w:sect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Industrial IoT</w:t>
      </w:r>
    </w:p>
    <w:p>
      <w:pPr>
        <w:spacing w:after="0" w:line="49" w:lineRule="exact"/>
        <w:rPr>
          <w:sz w:val="20"/>
          <w:szCs w:val="20"/>
          <w:color w:val="auto"/>
        </w:rPr>
      </w:pPr>
    </w:p>
    <w:p>
      <w:pPr>
        <w:ind w:left="340" w:hanging="11"/>
        <w:spacing w:after="0" w:line="238" w:lineRule="auto"/>
        <w:rPr>
          <w:sz w:val="20"/>
          <w:szCs w:val="20"/>
          <w:color w:val="auto"/>
        </w:rPr>
      </w:pPr>
      <w:r>
        <w:rPr>
          <w:rFonts w:ascii="Times New Roman" w:cs="Times New Roman" w:eastAsia="Times New Roman" w:hAnsi="Times New Roman"/>
          <w:sz w:val="18"/>
          <w:szCs w:val="18"/>
          <w:color w:val="auto"/>
        </w:rPr>
        <w:t>The Industrial IoT market supports a diverse array of products and applications. Utilizing Industrial IoT enables companies to enhance production and efficiency, gain insights into processes, and predict faults before they lead to downtime. Our Industrial IoT solutions drive energy efficiency, operational excellence, and enables the intelligent and secure use of industrial assets. They simplify human-machine interfaces, improve convenience for electrical providers and consumers through smart metering, drives operational efficiency by adding wireless connectivity to street lights, sensors, and controls, optimize maintenance routines with IoT predictive maintenance, and enhance energy efficiency by allowing renewable energy integration in both residential and utility setting.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Commercial IoT</w:t>
      </w:r>
    </w:p>
    <w:p>
      <w:pPr>
        <w:spacing w:after="0" w:line="49" w:lineRule="exact"/>
        <w:rPr>
          <w:sz w:val="20"/>
          <w:szCs w:val="20"/>
          <w:color w:val="auto"/>
        </w:rPr>
      </w:pPr>
    </w:p>
    <w:p>
      <w:pPr>
        <w:ind w:left="340" w:right="260"/>
        <w:spacing w:after="0" w:line="239" w:lineRule="auto"/>
        <w:rPr>
          <w:sz w:val="20"/>
          <w:szCs w:val="20"/>
          <w:color w:val="auto"/>
        </w:rPr>
      </w:pPr>
      <w:r>
        <w:rPr>
          <w:rFonts w:ascii="Times New Roman" w:cs="Times New Roman" w:eastAsia="Times New Roman" w:hAnsi="Times New Roman"/>
          <w:sz w:val="18"/>
          <w:szCs w:val="18"/>
          <w:color w:val="auto"/>
        </w:rPr>
        <w:t>Commercial IoT, such as smart retail solutions, can increase retailer efficiency, reduce labor costs, and provide consumer insights by merging digital online e-commerce and physical stores into an omnichannel experience. Our smart retail solutions, such as electronic shelf labels, increase productivity and profitability via centralized and dynamic price management without the labor-intensive manual price updates. Our smart lighting solutions use wireless access points to enable indoor location services which track assets and consumer behavior and speed up click-and-collect ordering.</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Home &amp;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automation and control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metering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street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Renewable energy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Electric vehicle supply equipment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wearables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equipment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agriculture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buildings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Access controls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Asset tracking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Electronic shelf labels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Theft protection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Power tools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Enterprise access points</w:t>
      </w:r>
    </w:p>
    <w:p>
      <w:pPr>
        <w:spacing w:after="0" w:line="657" w:lineRule="exact"/>
        <w:rPr>
          <w:sz w:val="20"/>
          <w:szCs w:val="20"/>
          <w:color w:val="auto"/>
        </w:rPr>
      </w:pPr>
    </w:p>
    <w:p>
      <w:pPr>
        <w:sectPr>
          <w:pgSz w:w="11900" w:h="16838" w:orient="portrait"/>
          <w:cols w:equalWidth="0" w:num="2">
            <w:col w:w="7580" w:space="160"/>
            <w:col w:w="3200"/>
          </w:cols>
          <w:pgMar w:left="320" w:top="121" w:right="6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Smart Home</w:t>
      </w:r>
    </w:p>
    <w:p>
      <w:pPr>
        <w:spacing w:after="0" w:line="49" w:lineRule="exact"/>
        <w:rPr>
          <w:sz w:val="20"/>
          <w:szCs w:val="20"/>
          <w:color w:val="auto"/>
        </w:rPr>
      </w:pPr>
    </w:p>
    <w:p>
      <w:pPr>
        <w:ind w:left="340" w:right="20"/>
        <w:spacing w:after="0" w:line="238" w:lineRule="auto"/>
        <w:rPr>
          <w:sz w:val="20"/>
          <w:szCs w:val="20"/>
          <w:color w:val="auto"/>
        </w:rPr>
      </w:pPr>
      <w:r>
        <w:rPr>
          <w:rFonts w:ascii="Times New Roman" w:cs="Times New Roman" w:eastAsia="Times New Roman" w:hAnsi="Times New Roman"/>
          <w:sz w:val="18"/>
          <w:szCs w:val="18"/>
          <w:color w:val="auto"/>
        </w:rPr>
        <w:t>The Smart Home market is transforming everyday living through greater comfort, efficiency, and peace of mind. Consumers are embracing connected devices that make homes safer, more energy-efficient, and easier to manage, from lighting and climate control to security and entertainment. As smart technology becomes more intelligent, intuitive, and interoperable, it enables seamless automation that enhances quality of life while supporting sustainability and cost savings. Our secure, reliable, and robust smart home solutions also include support for emerging applications like Matter and Amazon Sidewalk that are designed to streamline customer adoption while providing functionality that reinforces privacy, simplicity,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Connected Health</w:t>
      </w:r>
    </w:p>
    <w:p>
      <w:pPr>
        <w:spacing w:after="0" w:line="49" w:lineRule="exact"/>
        <w:rPr>
          <w:sz w:val="20"/>
          <w:szCs w:val="20"/>
          <w:color w:val="auto"/>
        </w:rPr>
      </w:pPr>
    </w:p>
    <w:p>
      <w:pPr>
        <w:ind w:left="340"/>
        <w:spacing w:after="0" w:line="241" w:lineRule="auto"/>
        <w:rPr>
          <w:sz w:val="20"/>
          <w:szCs w:val="20"/>
          <w:color w:val="auto"/>
        </w:rPr>
      </w:pPr>
      <w:r>
        <w:rPr>
          <w:rFonts w:ascii="Times New Roman" w:cs="Times New Roman" w:eastAsia="Times New Roman" w:hAnsi="Times New Roman"/>
          <w:sz w:val="18"/>
          <w:szCs w:val="18"/>
          <w:color w:val="auto"/>
        </w:rPr>
        <w:t>Smart medical devices, such as continuous glucose monitors, insulin pumps, pulse oximeters, ECG monitors, and fitness wearables, make healthcare more accessible and are improving lives around the world. Regulatory requirements, product miniaturization needs, battery life, and security make development of these connected medical devices challenging for device manufacturers. Our low-power, high-performance wireless SoCs and modules simplify this process and accelerate time-to-market to develop secure, reliable, smart medical devices.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Home cameras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Locks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Gateways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Residential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Window shades/blinds</w:t>
      </w:r>
    </w:p>
    <w:p>
      <w:pPr>
        <w:spacing w:after="0" w:line="6" w:lineRule="exact"/>
        <w:rPr>
          <w:sz w:val="20"/>
          <w:szCs w:val="20"/>
          <w:color w:val="auto"/>
        </w:rPr>
      </w:pPr>
    </w:p>
    <w:p>
      <w:pPr>
        <w:ind w:left="160" w:right="520" w:hanging="160"/>
        <w:spacing w:after="0" w:line="247" w:lineRule="auto"/>
        <w:rPr>
          <w:sz w:val="20"/>
          <w:szCs w:val="20"/>
          <w:color w:val="auto"/>
        </w:rPr>
      </w:pPr>
      <w:r>
        <w:rPr>
          <w:rFonts w:ascii="Times New Roman" w:cs="Times New Roman" w:eastAsia="Times New Roman" w:hAnsi="Times New Roman"/>
          <w:sz w:val="18"/>
          <w:szCs w:val="18"/>
          <w:color w:val="auto"/>
        </w:rPr>
        <w:t>– HVAC (heating, ventilation, and air conditioning)</w:t>
      </w:r>
    </w:p>
    <w:p>
      <w:pPr>
        <w:spacing w:after="0"/>
        <w:rPr>
          <w:sz w:val="20"/>
          <w:szCs w:val="20"/>
          <w:color w:val="auto"/>
        </w:rPr>
      </w:pPr>
      <w:r>
        <w:rPr>
          <w:rFonts w:ascii="Times New Roman" w:cs="Times New Roman" w:eastAsia="Times New Roman" w:hAnsi="Times New Roman"/>
          <w:sz w:val="18"/>
          <w:szCs w:val="18"/>
          <w:color w:val="auto"/>
        </w:rPr>
        <w:t>– Appliances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Switches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Sensors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Security panels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smoke/CO detectors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Diabetes management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Consumer health &amp; fitness (wearables)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Elderly care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Patient monitoring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Activity tracking</w:t>
      </w:r>
    </w:p>
    <w:p>
      <w:pPr>
        <w:spacing w:after="0" w:line="367" w:lineRule="exact"/>
        <w:rPr>
          <w:sz w:val="20"/>
          <w:szCs w:val="20"/>
          <w:color w:val="auto"/>
        </w:rPr>
      </w:pPr>
    </w:p>
    <w:p>
      <w:pPr>
        <w:sectPr>
          <w:pgSz w:w="11900" w:h="16838" w:orient="portrait"/>
          <w:cols w:equalWidth="0" w:num="2">
            <w:col w:w="7540" w:space="200"/>
            <w:col w:w="3200"/>
          </w:cols>
          <w:pgMar w:left="320" w:top="12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224" w:lineRule="exact"/>
        <w:rPr>
          <w:sz w:val="20"/>
          <w:szCs w:val="20"/>
          <w:color w:val="auto"/>
        </w:rPr>
      </w:pPr>
    </w:p>
    <w:p>
      <w:pPr>
        <w:ind w:right="820" w:firstLine="320"/>
        <w:spacing w:after="0" w:line="277" w:lineRule="auto"/>
        <w:rPr>
          <w:sz w:val="20"/>
          <w:szCs w:val="20"/>
          <w:color w:val="auto"/>
        </w:rPr>
      </w:pPr>
      <w:r>
        <w:rPr>
          <w:rFonts w:ascii="Times New Roman" w:cs="Times New Roman" w:eastAsia="Times New Roman" w:hAnsi="Times New Roman"/>
          <w:sz w:val="18"/>
          <w:szCs w:val="18"/>
          <w:color w:val="auto"/>
        </w:rPr>
        <w:t>We market our products through our direct sales force and through a network of independent sales representatives and distributors. Direct and distribution customers buy on an individual purchase order basis, rather than pursuant to long-term agreements.</w:t>
      </w:r>
    </w:p>
    <w:p>
      <w:pPr>
        <w:spacing w:after="0" w:line="163"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We consider our customer to be the end customer purchasing either directly from a distributor, a contract manufacturer or us. During fiscal 2025, our ten largest end customers accounted for 25% of our revenues. We had no customer that represented more than 10% of our revenues during this period. An end customer purchasing through a contract manufacturer typically instructs such contract manufacturer to obtain our products and incorporate such products with other components for sale by such contract manufacturer to the end customer. Although we sell products to, and are paid by distributors and contract manufacturers, we refer to the end customer as our customer. Two of our distributors who sell to our customers, Arrow Electronics and Edom Technology, represented 28% and 21% of our revenues during fiscal 2025, respectively.</w:t>
      </w:r>
    </w:p>
    <w:p>
      <w:pPr>
        <w:spacing w:after="0" w:line="185"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We maintain numerous sales offices in Asia, the Americas and Europe. Revenue is attributed to a geographic area based on the shipped-to location. The percentage of our revenues derived from outside of the United States was 91% in fiscal 2025.</w:t>
      </w:r>
    </w:p>
    <w:p>
      <w:pPr>
        <w:spacing w:after="0" w:line="163"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Our direct sales force is comprised of many sales professionals who possess varied levels of responsibility and experience, including directors, country managers, regional sales managers, district sales managers, strategic account managers, field sales engineers and sales representatives. We also utilize independent sales representatives and distributors to generate sales of our products. We have relationships with many independent sales representatives and distributors worldwide whom we have selected based on their understanding of the mixed-signal marketplace and their ability to provide effective field sales applications support for our products.</w:t>
      </w:r>
    </w:p>
    <w:p>
      <w:pPr>
        <w:spacing w:after="0" w:line="186"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185"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Due to the complex and innovative nature of our products, we employ experienced applications engineers who work closely with customers and distributors to support the design-win process and can significantly accelerate the customer’s time to market. A design win occurs when a customer has designed our ICs into its product architecture and ordered product from us. A considerable amount of effort to help a customer incorporate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 win can vary substantially depending on a customer’s development cycle, which can be relatively short (such as three months) or very long (such as two years) based on a wide variety of customer factors. Not all design wins ultimately result in revenue or may result in less revenue than expected. However, once a completed design architecture has been implemented and produced in high volumes, our customers are reluctant to significantly alter their designs due to this extensive design-win process. We believe this process, coupled with our intellectual property protection, promotes relatively longer product life cycles for our products and high barriers to entry for competitive products, even if such competing products are offered at lower prices. Our close collaboration with our customers provides us with knowledge of derivative product ideas or completely new product line offerings that may not otherwise arise in other new product discussions.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Through our research and development efforts, we leverage experienced analog and mixed-signal engineering talent and expertise to create new ICs that integrate functions typically performed less 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we have attracted many of the best engineers in our industry. We believe that reliable and precise analog and mixed-signal ICs can only be developed by teams of engineers who have significant analog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experience and are familiar with the intricacies of designing these ICs for commercial volume production. The development of test methodologies is just one example of a critical activity requiring experience and know-how to enable the rapid release of a new product for commercial success. We have accumulated a vast set of trade secrets that allow us to pursue innovative approaches to mixed-signal problems that are difficult for competitors to duplicate. We highly value our engineering talent and strive to maintain a very high bar when bringing new recruits to the company.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expenses were $353.2 million, $332.2 million and $337.7 million in fiscal 2025, 2024 and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4" w:lineRule="exact"/>
        <w:rPr>
          <w:sz w:val="20"/>
          <w:szCs w:val="20"/>
          <w:color w:val="auto"/>
        </w:rPr>
      </w:pPr>
    </w:p>
    <w:p>
      <w:pPr>
        <w:ind w:right="200" w:firstLine="320"/>
        <w:spacing w:after="0" w:line="254" w:lineRule="auto"/>
        <w:rPr>
          <w:sz w:val="20"/>
          <w:szCs w:val="20"/>
          <w:color w:val="auto"/>
        </w:rPr>
      </w:pPr>
      <w:r>
        <w:rPr>
          <w:rFonts w:ascii="Times New Roman" w:cs="Times New Roman" w:eastAsia="Times New Roman" w:hAnsi="Times New Roman"/>
          <w:sz w:val="18"/>
          <w:szCs w:val="18"/>
          <w:color w:val="auto"/>
        </w:rPr>
        <w:t>Our product development process facilitates the design of highly innovative, analog-intensive, mixed-signal ICs. Our engineers’ deep knowledge of existing and emerging standards and performance requirements helps us to assess the technical feasibility of a particular IC. We target areas where we can provide compelling product improvements. Once we have solved the primary challenges, our field application engineers continue to work closely with our customers’ design teams to maintain and develop an understanding of our customers’ needs, allowing us to formulate derivative products and refined features.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providing mixed-signal ICs for our customers, we believe our key competitive advantages are:</w:t>
      </w:r>
    </w:p>
    <w:p>
      <w:pPr>
        <w:spacing w:after="0" w:line="220"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and RF design expertise in CMOS;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Mixed-signal, firmware, and system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Microcontroller and system-on-a-chip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expertise, including multiprotocol connectivity and real-time operating systems for the IoT;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Module integration and wireless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Silicon-to-cloud security integration expertise;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 understanding of systems technology and trends.</w:t>
      </w:r>
    </w:p>
    <w:p>
      <w:pPr>
        <w:spacing w:after="0" w:line="201"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8"/>
          <w:szCs w:val="18"/>
          <w:color w:val="auto"/>
        </w:rPr>
        <w:t>To fully capitalize on these advantages, we have assembled a world-class development team with exceptional analog and mixed-signal design expertise led by accomplished senior engineers.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and RF Design Expertise in CMOS</w:t>
      </w:r>
    </w:p>
    <w:p>
      <w:pPr>
        <w:spacing w:after="0" w:line="222" w:lineRule="exact"/>
        <w:rPr>
          <w:sz w:val="20"/>
          <w:szCs w:val="20"/>
          <w:color w:val="auto"/>
        </w:rPr>
      </w:pPr>
    </w:p>
    <w:p>
      <w:pPr>
        <w:ind w:right="120" w:firstLine="320"/>
        <w:spacing w:after="0" w:line="252" w:lineRule="auto"/>
        <w:rPr>
          <w:sz w:val="20"/>
          <w:szCs w:val="20"/>
          <w:color w:val="auto"/>
        </w:rPr>
      </w:pPr>
      <w:r>
        <w:rPr>
          <w:rFonts w:ascii="Times New Roman" w:cs="Times New Roman" w:eastAsia="Times New Roman" w:hAnsi="Times New Roman"/>
          <w:sz w:val="18"/>
          <w:szCs w:val="18"/>
          <w:color w:val="auto"/>
        </w:rPr>
        <w:t>We believe that our most significant core competency is world-class analog and RF design capability. Additionally, we strive to design substantially all our ICs in standard CMOS processes. Most of our product designs now incorporate some type of RF in CMOS technology. While it is often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These finer line geometries can enable smaller and faster ICs. By designing our ICs in CMOS, we enable our products to benefit from this trend towards finer line geometries, which allows us to integrate more digital functionality into our mixed-signal ICs.</w:t>
      </w:r>
    </w:p>
    <w:p>
      <w:pPr>
        <w:spacing w:after="0" w:line="187"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Designing analog and mixed-signal ICs is significantly more complicated than designing standalone digital ICs. While advanced software tools exist to help automate digital IC design, there are far fewer tools for advanced analog and mixed-signal IC design. In many cases, our analog circuit design efforts begin at the fundamental transistor level. We believe that we have a demonstrated ability to design the most difficult analog and RF circuits using standard CMOS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Mixed-Signal, Firmware and System Design Expertise</w:t>
      </w:r>
    </w:p>
    <w:p>
      <w:pPr>
        <w:spacing w:after="0" w:line="222"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consider the partitioning of a circuit to be a proprietary and creative design technique. Deep systems knowledge allows us to use our mixed-signal and RF in CMOS design expertise to maximize the price/performance characteristics of both the analog and digital functions and allow our ICs to work in an optimized manner to accomplish particular tasks. Generally, we attempt to move analog functions into the digital domain as quickly as possible, creating system efficiencies without compromising performance. These patented approaches require our advanced signal processing and systems expertise. We then leverage our firmware know-how to change the ‘personality’ of our devices, optimizing features and functions needed by various markets we serve. For example, our wireless SoC devices for IoT applications integrate both digital and analog domains in a single chip. The SoCs combine ARM Cortex-M processor cores, a variety of digital and analog peripherals, hardware cryptography accelerators, and analog-intensive multiprotocol radio transceivers. This system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integration at the chip level leverages our deep expertise in mixed-signal and RF design, and low-power wireless MCU architectures pioneered for more than a decade.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Microcontroller and System on a Chip Design Expertise</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We have the talent and circuit integration methodologies required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cost-efficient with the silicon area of the monolithic CMOS integrated circuit requires a keen sense of customer value and engineering capabilities. Additionally, managing the wide variety of signals on a monolithic piece of silicon, including electrical noise, harmonics, and other electronic distortions requires a fundamental knowledge of device physics and accumulated design expertise.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Expertise</w:t>
      </w:r>
    </w:p>
    <w:p>
      <w:pPr>
        <w:spacing w:after="0" w:line="222" w:lineRule="exact"/>
        <w:rPr>
          <w:sz w:val="20"/>
          <w:szCs w:val="20"/>
          <w:color w:val="auto"/>
        </w:rPr>
      </w:pPr>
    </w:p>
    <w:p>
      <w:pPr>
        <w:ind w:right="180" w:firstLine="320"/>
        <w:spacing w:after="0" w:line="257" w:lineRule="auto"/>
        <w:rPr>
          <w:sz w:val="20"/>
          <w:szCs w:val="20"/>
          <w:color w:val="auto"/>
        </w:rPr>
      </w:pPr>
      <w:r>
        <w:rPr>
          <w:rFonts w:ascii="Times New Roman" w:cs="Times New Roman" w:eastAsia="Times New Roman" w:hAnsi="Times New Roman"/>
          <w:sz w:val="18"/>
          <w:szCs w:val="18"/>
          <w:color w:val="auto"/>
        </w:rPr>
        <w:t>Our software expertise allows us to develop products for markets where intelligent data capture, high-performance processing, and communication are increasingly important product differentiators. The software we have developed to address these markets enables machine-to-machine communications, providing intelligence to electronic systems. Our products integrate high-performance, low-power wireless, and microcontroller ICs with reliable and scalable software into a flexible and robust networking platform.</w:t>
      </w:r>
    </w:p>
    <w:p>
      <w:pPr>
        <w:spacing w:after="0" w:line="181" w:lineRule="exact"/>
        <w:rPr>
          <w:sz w:val="20"/>
          <w:szCs w:val="20"/>
          <w:color w:val="auto"/>
        </w:rPr>
      </w:pPr>
    </w:p>
    <w:p>
      <w:pPr>
        <w:ind w:right="160" w:firstLine="320"/>
        <w:spacing w:after="0" w:line="262" w:lineRule="auto"/>
        <w:rPr>
          <w:sz w:val="20"/>
          <w:szCs w:val="20"/>
          <w:color w:val="auto"/>
        </w:rPr>
      </w:pPr>
      <w:r>
        <w:rPr>
          <w:rFonts w:ascii="Times New Roman" w:cs="Times New Roman" w:eastAsia="Times New Roman" w:hAnsi="Times New Roman"/>
          <w:sz w:val="18"/>
          <w:szCs w:val="18"/>
          <w:color w:val="auto"/>
        </w:rPr>
        <w:t>The demand for low-power, small-footprint wireless technology is accelerating as more and more IP-enabled endpoints are being connected to the IoT. Our software enables a broad range of power-sensitive applications for the IoT, including smart energy, home automation, security, and other connected products. We believe that the combination of our software and IC design expertise differentiates us from many of our competitors.</w:t>
      </w:r>
    </w:p>
    <w:p>
      <w:pPr>
        <w:spacing w:after="0" w:line="176"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As the IoT continues to mature, a new class of embedded applications is emerging, presenting feature-rich and task-intensive use cases. This growing complexity is driving the need for real time operating systems (“RTOS”) to help simplify software development for IoT applications by coordinating and prioritizing multiprotocol connectivity, SoC peripherals, and other system-level activities. In addition to being able to manage numerous application tasks, an RTOS enhances scalability and makes complex applications predictable and reliable.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Module Integration and Wireless Design Expertise</w:t>
      </w:r>
    </w:p>
    <w:p>
      <w:pPr>
        <w:spacing w:after="0" w:line="222" w:lineRule="exact"/>
        <w:rPr>
          <w:sz w:val="20"/>
          <w:szCs w:val="20"/>
          <w:color w:val="auto"/>
        </w:rPr>
      </w:pPr>
    </w:p>
    <w:p>
      <w:pPr>
        <w:ind w:right="260" w:firstLine="320"/>
        <w:spacing w:after="0" w:line="284" w:lineRule="auto"/>
        <w:rPr>
          <w:sz w:val="20"/>
          <w:szCs w:val="20"/>
          <w:color w:val="auto"/>
        </w:rPr>
      </w:pPr>
      <w:r>
        <w:rPr>
          <w:rFonts w:ascii="Times New Roman" w:cs="Times New Roman" w:eastAsia="Times New Roman" w:hAnsi="Times New Roman"/>
          <w:sz w:val="17"/>
          <w:szCs w:val="17"/>
          <w:color w:val="auto"/>
        </w:rPr>
        <w:t>The market for wireless modules has grown as customers search for solutions that provide turnkey wireless connectivity for their products. The development of modules is difficult due to stringent requirements, including high levels of integration, programmability, performance, reliability, security, and power efficiency. In addition, designs must meet numerous wireless standards deployed in various environments and serving diverse requirements.</w:t>
      </w:r>
    </w:p>
    <w:p>
      <w:pPr>
        <w:spacing w:after="0" w:line="16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Our combined expertise in IC design and software development allows us to engineer modules that provide robust, high-performance connections in challenging wireless environments. We have developed wireless modules based on numerous wireless standards, including Bluetooth, sub-GHz, Thread, Wi-Fi, Zigbee, and Z-Wave. We believe our demonstrated proficiency in the design of modules provides our customers with significant advantages such as fast time to market, reduced development cost, global wireless certifications, and software reuse.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Silicon-to-Cloud Security Integration Expertise</w:t>
      </w:r>
    </w:p>
    <w:p>
      <w:pPr>
        <w:spacing w:after="0" w:line="222"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Security is of paramount importance to our customers. More than ever before, device manufacturers and OEMs developing IoT products have specific needs to ensure their solutions are secure. Security is a complex endeavor involving the convergence of multiple integrated hardware and software technologies. IoT products are designed to ensure the devices operate in a trusted and reliable manner, enforce policies as well as protect the confidentiality, authenticity and integrity of data and private information being processed and transmitted. The building blocks are built in hardware based on dedicated IC security components integrated into SoC designs. These specialized security components are designed to enhance cryptographic capabilities and exploit unique physical characteristics of CMOS to establish foundations of trust and enable device identity and assurance.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In addition to developing specific security hardware and software capabilities, we also focus design and engineering efforts on technologies that simplify and accelerate adoption by customers of security features engineered into our silicon chips. This is primarily achieved through software tools such as Simplicity Studio and its integration with cloud-based services that simplify implementation, reduce complexity and enable management of security for fleets of devices. Those capabilities are designed to help customers develop products and solutions with chip-to-cloud security integration, enable faster time to market and reduce security defects, risks and losses due to security attacks and incidents. We continue to create innovative security solutions that enable customers to develop best-in-class, simple and economical solutions and will continue investing in security-specific research and development that addresses a dynamic threat landscape, emerging regulatory requirements, and evolving customer security and privacy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Understanding of Systems Technology and Trends</w:t>
      </w:r>
    </w:p>
    <w:p>
      <w:pPr>
        <w:spacing w:after="0" w:line="222" w:lineRule="exact"/>
        <w:rPr>
          <w:sz w:val="20"/>
          <w:szCs w:val="20"/>
          <w:color w:val="auto"/>
        </w:rPr>
      </w:pPr>
    </w:p>
    <w:p>
      <w:pPr>
        <w:jc w:val="both"/>
        <w:ind w:right="440" w:firstLine="320"/>
        <w:spacing w:after="0" w:line="262" w:lineRule="auto"/>
        <w:rPr>
          <w:sz w:val="20"/>
          <w:szCs w:val="20"/>
          <w:color w:val="auto"/>
        </w:rPr>
      </w:pPr>
      <w:r>
        <w:rPr>
          <w:rFonts w:ascii="Times New Roman" w:cs="Times New Roman" w:eastAsia="Times New Roman" w:hAnsi="Times New Roman"/>
          <w:sz w:val="18"/>
          <w:szCs w:val="18"/>
          <w:color w:val="auto"/>
        </w:rPr>
        <w:t>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Our expertise includes:</w:t>
      </w:r>
    </w:p>
    <w:p>
      <w:pPr>
        <w:spacing w:after="0" w:line="176"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synthesis, which is core technology for wireless and clocking applications;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which enables the elimination of discrete components in a system;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 processing and precision analog, which forms the heart of consumer, industrial, medical, and automotive electronics applications.</w:t>
      </w:r>
    </w:p>
    <w:p>
      <w:pPr>
        <w:spacing w:after="0" w:line="201"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Our understanding of the role of analog/digital interfaces within electronic systems, standards evolution, and end-market drivers enables us to identify product development opportunities and capitalize on market trends.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4" w:lineRule="exact"/>
        <w:rPr>
          <w:sz w:val="20"/>
          <w:szCs w:val="20"/>
          <w:color w:val="auto"/>
        </w:rPr>
      </w:pPr>
    </w:p>
    <w:p>
      <w:pPr>
        <w:ind w:right="20" w:firstLine="320"/>
        <w:spacing w:after="0" w:line="268" w:lineRule="auto"/>
        <w:rPr>
          <w:sz w:val="20"/>
          <w:szCs w:val="20"/>
          <w:color w:val="auto"/>
        </w:rPr>
      </w:pPr>
      <w:r>
        <w:rPr>
          <w:rFonts w:ascii="Times New Roman" w:cs="Times New Roman" w:eastAsia="Times New Roman" w:hAnsi="Times New Roman"/>
          <w:sz w:val="17"/>
          <w:szCs w:val="17"/>
          <w:color w:val="auto"/>
        </w:rPr>
        <w:t>As a fabless semiconductor company, we conduct IC design and development in our facilities and electronically transfer our proprietary IC designs to third-party semiconductor fabricators who process silicon wafers to produce the ICs that we design. Our IC designs typically use industry-standard CMOS manufacturing process technology to achieve a level of performance normally associated with more expensive special-purpose IC fabrication technology. We believe the use of CMOS technology facilitates the rapid production of our ICs within a lower-cost framework. Our IC production employs submicron process geometries, which are readily available from leading foundry suppliers worldwide, thus increasing the likelihood that manufacturing capacity will be available throughout our products’ life cycles. We currently partner primarily with Taiwan Semiconductor Manufacturing Co. (“TSMC”) and Semiconductor Manufacturing International Corporation (“SMIC”) to manufacture the majority of our semiconductor wafers. We believe that our fabless manufacturing model significantly reduces our capital requirements and allows us to focus our resources on the design, development, and marketing of our ICs.</w:t>
      </w:r>
    </w:p>
    <w:p>
      <w:pPr>
        <w:spacing w:after="0" w:line="175"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Once the silicon wafers have been produced, they are shipped directly to our third-party assembly subcontractors. The assembled ICs are then moved to the final testing stage. This operation can be performed by the same contractor that assembled the IC, other third-party test subcontractors, or within our internal facilities prior to shipping to our customers. During fiscal 2025, most of our units shipped were tested by offshore third-party test subcontractors. We expect that our utilization of offshore third-party test subcontractors will remain substantial during fiscal 2026.</w:t>
      </w:r>
    </w:p>
    <w:p>
      <w:pPr>
        <w:spacing w:after="0" w:line="181" w:lineRule="exact"/>
        <w:rPr>
          <w:sz w:val="20"/>
          <w:szCs w:val="20"/>
          <w:color w:val="auto"/>
        </w:rPr>
      </w:pPr>
    </w:p>
    <w:p>
      <w:pPr>
        <w:ind w:right="340" w:firstLine="320"/>
        <w:spacing w:after="0" w:line="257"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including due to unpredictable factors outside their control, we may have difficulty sourcing materials necessary to fulfill production requirements. Disruptions to our business and supply chain (and the business and supply chains of our customers) could cause significant delays in shipments of our products until we are able to shift our manufacturing, assembling, or testing from the affected subcontractor to another third-party vendor.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4"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We include in backlog accepted product purchase orders from customers and worldwide distributor stocking orders.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Accordingly, we do not believe that our backlog at any time is necessarily representative of actual sales for any succeeding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4"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markets for semiconductors generally, and for analog and mixed-signal ICs in particular, are intensely competitive. We anticipate that the market for our products will continually evolve and will be subject to rapid technological change. We believe the principal competitive factors in our industry are:</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size;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requirement;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Level of integration;</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support;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capabilities;</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Reputation;</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Reliability;</w:t>
            </w:r>
          </w:p>
        </w:tc>
        <w:tc>
          <w:tcPr>
            <w:tcW w:w="58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Ability to rapidly introduce new products to market;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and</w:t>
            </w:r>
          </w:p>
        </w:tc>
      </w:tr>
      <w:tr>
        <w:trPr>
          <w:trHeight w:val="2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r>
    </w:tbl>
    <w:p>
      <w:pPr>
        <w:spacing w:after="0" w:line="194"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We believe that we are competitive with respect to these factors, particularly because our ICs typically are smaller in size, are highly integrated, achieve high-performance specifications at lower price points than many competitive products, and are manufactured in standard CMOS, which generally enables us to supply them on a relatively rapid basis to customers to meet their product introduction schedules. However, disadvantages we face include our relatively short operating history in certain of our markets and the need for customers to redesign their products and modify their software to implement our ICs in their products.</w:t>
      </w:r>
    </w:p>
    <w:p>
      <w:pPr>
        <w:spacing w:after="0" w:line="186" w:lineRule="exact"/>
        <w:rPr>
          <w:sz w:val="20"/>
          <w:szCs w:val="20"/>
          <w:color w:val="auto"/>
        </w:rPr>
      </w:pPr>
    </w:p>
    <w:p>
      <w:pPr>
        <w:ind w:right="20" w:firstLine="320"/>
        <w:spacing w:after="0" w:line="269" w:lineRule="auto"/>
        <w:rPr>
          <w:sz w:val="20"/>
          <w:szCs w:val="20"/>
          <w:color w:val="auto"/>
        </w:rPr>
      </w:pPr>
      <w:r>
        <w:rPr>
          <w:rFonts w:ascii="Times New Roman" w:cs="Times New Roman" w:eastAsia="Times New Roman" w:hAnsi="Times New Roman"/>
          <w:sz w:val="17"/>
          <w:szCs w:val="17"/>
          <w:color w:val="auto"/>
        </w:rPr>
        <w:t>Due to our diversified product portfolio and the numerous markets and applications we serve, we compete against a relatively large number of competitors. We compete with Espressif, Infineon, MediaTek, Microchip, Nordic Semiconductor, NXP, Qualcomm, Renesas, STMicroelectronics, Synaptics, Telink, Texas Instruments and others. We expect to face competition in the future from our current competitors, other manufacturers, designers of semiconductors, and start-up semiconductor design companies. Our competitors may also offer bundled solutions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We could also face competition from module makers or other systems suppliers that may include mixed-signal components in their products, which could eliminate the need for our ICs.</w:t>
      </w:r>
    </w:p>
    <w:p>
      <w:pPr>
        <w:spacing w:after="0" w:line="174"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ind w:firstLine="320"/>
        <w:spacing w:after="0" w:line="269" w:lineRule="auto"/>
        <w:rPr>
          <w:sz w:val="20"/>
          <w:szCs w:val="20"/>
          <w:color w:val="auto"/>
        </w:rPr>
      </w:pPr>
      <w:r>
        <w:rPr>
          <w:rFonts w:ascii="Times New Roman" w:cs="Times New Roman" w:eastAsia="Times New Roman" w:hAnsi="Times New Roman"/>
          <w:sz w:val="17"/>
          <w:szCs w:val="17"/>
          <w:color w:val="auto"/>
        </w:rPr>
        <w:t>Our future success depends in part upon our proprietary technology. We seek to protect our technology through a combination of patents, copyrights, trade secrets, trademarks and confidentiality procedures. As of January 3, 2026, we had greater than 1,575 issued or pending United States and foreign patents. Patents generally have a term of twenty years from the date they are filed. As our patent portfolio has been built over time, the remaining terms of the individual patents in our patent portfolio vary. There can be no assurance that patents will ever be issued with respect to our patent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w:t>
      </w:r>
    </w:p>
    <w:p>
      <w:pPr>
        <w:spacing w:after="0" w:line="174"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We claim copyright protection for proprietary documentation for our products. We have filed for registration, or are in the process of filing for registration, the visual images of certain ICs with the U.S. Copyright Office. We have registered the “Silicon Labs”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163"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w:t>
      </w:r>
    </w:p>
    <w:p>
      <w:pPr>
        <w:spacing w:after="0" w:line="186" w:lineRule="exact"/>
        <w:rPr>
          <w:sz w:val="20"/>
          <w:szCs w:val="20"/>
          <w:color w:val="auto"/>
        </w:rPr>
      </w:pPr>
    </w:p>
    <w:p>
      <w:pPr>
        <w:ind w:right="460" w:firstLine="320"/>
        <w:spacing w:after="0" w:line="277" w:lineRule="auto"/>
        <w:rPr>
          <w:sz w:val="20"/>
          <w:szCs w:val="20"/>
          <w:color w:val="auto"/>
        </w:rPr>
      </w:pPr>
      <w:r>
        <w:rPr>
          <w:rFonts w:ascii="Times New Roman" w:cs="Times New Roman" w:eastAsia="Times New Roman" w:hAnsi="Times New Roman"/>
          <w:sz w:val="18"/>
          <w:szCs w:val="18"/>
          <w:color w:val="auto"/>
        </w:rPr>
        <w:t>Our licenses include industry standard licenses with our vendors, such as wafer fabrication tool libraries, third-party core libraries, computer-aided design applications and business software applications.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4" w:lineRule="exact"/>
        <w:rPr>
          <w:sz w:val="20"/>
          <w:szCs w:val="20"/>
          <w:color w:val="auto"/>
        </w:rPr>
      </w:pPr>
    </w:p>
    <w:p>
      <w:pPr>
        <w:jc w:val="both"/>
        <w:ind w:right="240" w:firstLine="320"/>
        <w:spacing w:after="0" w:line="262" w:lineRule="auto"/>
        <w:rPr>
          <w:sz w:val="20"/>
          <w:szCs w:val="20"/>
          <w:color w:val="auto"/>
        </w:rPr>
      </w:pPr>
      <w:r>
        <w:rPr>
          <w:rFonts w:ascii="Times New Roman" w:cs="Times New Roman" w:eastAsia="Times New Roman" w:hAnsi="Times New Roman"/>
          <w:sz w:val="18"/>
          <w:szCs w:val="18"/>
          <w:color w:val="auto"/>
        </w:rPr>
        <w:t>Our success depends on our ability to continue to attract, retain and motivate qualified employees, particularly highly skilled analog and mixed-signal engineers and senior management personnel. We strive to meet this objective by offering competitive compensation and benefits in an inclusive, equitable and safe workplace, with opportunities for our employees to grow and develop in their careers.</w:t>
      </w:r>
    </w:p>
    <w:p>
      <w:pPr>
        <w:spacing w:after="0" w:line="176"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As of January 3, 2026, we employed 1,930 people, of whom 72% were in engineering roles. Women represented 23% of our workforce and men represented 77%. We are a multi-national and multi-ethnic workforce, with sites and employees in more than a dozen countries. We are committed to fostering an environment where people feel valued, respected, and empowered to do their best work. We actively promote fair and equitable practices in our recruitment, development, promotion and compensation programs. These principles are also reflected in our employee training, in particular with respect to our policies against harassment, discrimination and the elimination of bias in the workplace.</w:t>
      </w:r>
    </w:p>
    <w:p>
      <w:pPr>
        <w:spacing w:after="0" w:line="186"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We hold our employees to high performance standards, and our compensation plans are designed to deliver competitive base pay and attractive incentive opportunities. Our benefits programs are tailored to the various countries in which we operate. We benchmark for market practices and regularly review our compensation and benefit programs against the market to ensure they remain competitive.</w:t>
      </w:r>
    </w:p>
    <w:p>
      <w:pPr>
        <w:spacing w:after="0" w:line="176"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support a high-performance culture through learning and development solutions aligned with our strategic priorities. Our approach is business-centric, accessible, and inclusive. Employees continuously collaborate and share their expertise through an internal training program consisting of classes and workshops that help strengthen technical and professional skills and advance careers. We also host university professors and external speakers to broaden knowledge, trigger creativity, and inspire innovation. Our e-learning libraries and on-demand training videos allow employees to absorb information at their own pace and share their recommendations with co-workers. Employees are invited to attend our annual two-day technical symposium featuring peer-reviewed presentations showcasing our internal technical achievements and talks from outside experts to educate and inspire our workforce. Our talent development programs provide employees with the resources they need to help achieve their career goals, build management skills and lead their organizations. We regularly review succession plans and focus on promoting internal talent to help grow our employees’ careers.</w:t>
      </w:r>
    </w:p>
    <w:p>
      <w:pPr>
        <w:spacing w:after="0" w:line="190"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We believe that our future success depends on retaining the services of our key personnel, developing their successors and properly managing the transition of key roles when they occur. Our key technical personnel represent a significant asset and serve as the primary source for our technological and product innovations. We use employee surveys to better understand and improve the employee experience and identify opportunities to continually strengthen our company culture. We use employee feedback to drive and improve processes and ensure a deep understanding of our mission and vision among our employees. We believe our continued focus on a strong, differentiated company culture, along with competitive compensation, career growth, and development opportunities have helped increase employee tenure and reduce voluntary turnover. During fiscal 2025, our voluntary employee turnover rate was 8%.</w:t>
      </w:r>
    </w:p>
    <w:p>
      <w:pPr>
        <w:spacing w:after="0" w:line="187" w:lineRule="exact"/>
        <w:rPr>
          <w:sz w:val="20"/>
          <w:szCs w:val="20"/>
          <w:color w:val="auto"/>
        </w:rPr>
      </w:pPr>
    </w:p>
    <w:p>
      <w:pPr>
        <w:ind w:right="280" w:firstLine="320"/>
        <w:spacing w:after="0" w:line="257" w:lineRule="auto"/>
        <w:rPr>
          <w:sz w:val="20"/>
          <w:szCs w:val="20"/>
          <w:color w:val="auto"/>
        </w:rPr>
      </w:pPr>
      <w:r>
        <w:rPr>
          <w:rFonts w:ascii="Times New Roman" w:cs="Times New Roman" w:eastAsia="Times New Roman" w:hAnsi="Times New Roman"/>
          <w:sz w:val="18"/>
          <w:szCs w:val="18"/>
          <w:color w:val="auto"/>
        </w:rPr>
        <w:t>The well-being of our employees is of utmost importance to us. We offer comprehensive benefits, resources, and personalized tools to address the healthcare and wellness needs of our employees and their families. We provide access to a variety of global programs that promote physical, mental and financial health, encouraging employees to take time off when needed, sustain a healthy work-life balance, personalize work arrangements, and plan for a secure future. By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inserting flexibility into our programs, we are best able to support employees and their families through various stages of their lives.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224" w:lineRule="exact"/>
        <w:rPr>
          <w:sz w:val="20"/>
          <w:szCs w:val="20"/>
          <w:color w:val="auto"/>
        </w:rPr>
      </w:pPr>
    </w:p>
    <w:p>
      <w:pPr>
        <w:ind w:right="60" w:firstLine="320"/>
        <w:spacing w:after="0" w:line="251" w:lineRule="auto"/>
        <w:rPr>
          <w:sz w:val="20"/>
          <w:szCs w:val="20"/>
          <w:color w:val="auto"/>
        </w:rPr>
      </w:pPr>
      <w:r>
        <w:rPr>
          <w:rFonts w:ascii="Times New Roman" w:cs="Times New Roman" w:eastAsia="Times New Roman" w:hAnsi="Times New Roman"/>
          <w:sz w:val="18"/>
          <w:szCs w:val="18"/>
          <w:color w:val="auto"/>
        </w:rPr>
        <w:t>As a global corporate citizen, we are committed to advancing responsible and sustainable operations throughout our supply chain. We live by our promise to “do the right thing” for all: our employees, customers, shareholders, communities, and the planet. We design smart, energy-efficient products that enable battery-powered, ultra-low-power wireless communications for our customers across industries where technology can meaningfully influence environmental and societal outcomes across home, medical, industrial, and commercial environments, including air pollution and waste management monitoring, water integrity, residential irrigation monitoring, street lighting networks, advanced metering infrastructure and green energy solutions. Innovative solutions do not stop at our products, as we are also actively supporting research to improve safety, sustainability, and overall quality of life in densifying cities as the founding corporate partner for the Smart City Living Lab at The International Institute of Information Technology in Hyderabad, India.</w:t>
      </w:r>
    </w:p>
    <w:p>
      <w:pPr>
        <w:spacing w:after="0" w:line="190"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We demand excellence in our quality and environmental management systems, which are certified to ISO 9001:2015 and ISO 14001:2015 standards, respectively. We are committed to delivering products that meet environmental regulations and requirements, and we maintain high standards for our global supply chain partners, prioritizing qualified suppliers who are socially and environmentally aligned with our sustainability approach. In 2022, we joined the Responsible Business Alliance® (“RBA®”), an industry coalition dedicated to responsible business conduct in the global supply chain. We support, and require our suppliers to support, the RBA Code of Conduct.</w:t>
      </w:r>
    </w:p>
    <w:p>
      <w:pPr>
        <w:spacing w:after="0" w:line="186"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Each year we donate to charitable organizations and allocate global site grants to support local community needs. We also offer 24 hours of paid time off annually for employees to volunteer in their communities. Our philanthropy program prioritizes financial, volunteer and in-kind support to organizations that are helping to expand technology access and education to underrepresented groups, support advancements in sustainability and energy conservation, and invest in critical community needs where we work and live.</w:t>
      </w:r>
    </w:p>
    <w:p>
      <w:pPr>
        <w:spacing w:after="0" w:line="181"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For more information on our Sustainability and ESG commitments and progress, please visit the Environmental, Social and Governance (“ESG”) section of our website at www.silabs.com. Our website and the information contained therein or connected thereto are not intended to be incorporated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4" w:lineRule="exact"/>
        <w:rPr>
          <w:sz w:val="20"/>
          <w:szCs w:val="20"/>
          <w:color w:val="auto"/>
        </w:rPr>
      </w:pPr>
    </w:p>
    <w:p>
      <w:pPr>
        <w:jc w:val="both"/>
        <w:ind w:right="280" w:firstLine="320"/>
        <w:spacing w:after="0" w:line="257" w:lineRule="auto"/>
        <w:rPr>
          <w:sz w:val="20"/>
          <w:szCs w:val="20"/>
          <w:color w:val="auto"/>
        </w:rPr>
      </w:pPr>
      <w:r>
        <w:rPr>
          <w:rFonts w:ascii="Times New Roman" w:cs="Times New Roman" w:eastAsia="Times New Roman" w:hAnsi="Times New Roman"/>
          <w:sz w:val="18"/>
          <w:szCs w:val="18"/>
          <w:color w:val="auto"/>
        </w:rPr>
        <w:t>We are subject to international, federal, state and local laws and regulations that are customary to businesses in the semiconductor industry, including those related to financial and other disclosures, accounting standards, corporate governance, intellectual property, tax, trade, including import, export and customs, antitrust, environment, health and safety, employment, immigration and travel, cybersecurity, privacy, data protection and localization, and anti-corruption. Such laws and regulations include, but are not limited to:</w:t>
      </w:r>
    </w:p>
    <w:p>
      <w:pPr>
        <w:spacing w:after="0" w:line="181" w:lineRule="exact"/>
        <w:rPr>
          <w:sz w:val="20"/>
          <w:szCs w:val="20"/>
          <w:color w:val="auto"/>
        </w:rPr>
      </w:pPr>
    </w:p>
    <w:p>
      <w:pPr>
        <w:ind w:left="640" w:right="300" w:hanging="313"/>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Hazardous Substances Directive (“RoHS”), which restricts the use of certain hazardous substances in electrical and electronic equipment;</w:t>
      </w:r>
    </w:p>
    <w:p>
      <w:pPr>
        <w:ind w:left="640" w:right="80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Data Protection Regulation (“GDPR”), which provides guidelines for the collection and processing of personal information from individuals who live in the European Union;</w:t>
      </w:r>
    </w:p>
    <w:p>
      <w:pPr>
        <w:ind w:left="640" w:right="20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(“FCPA”), which prohibits companies and their individual officers from influencing foreign officials with any personal payments or rewards; and</w:t>
      </w:r>
    </w:p>
    <w:p>
      <w:pPr>
        <w:ind w:left="640" w:hanging="313"/>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reporting, which imposes disclosure requirements regarding the use of “conflict” minerals mined from the Democratic Republic of Congo and adjoining countries in products.</w:t>
      </w:r>
    </w:p>
    <w:p>
      <w:pPr>
        <w:spacing w:after="0" w:line="18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Although compliance with these laws has not had a material impact on our financial position and results of operations, the laws and regulations to which we are subject may differ among jurisdictions, and compliance with them may have a materially adverse impact on our business and results of operations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ind w:right="920" w:firstLine="320"/>
        <w:spacing w:after="0" w:line="277" w:lineRule="auto"/>
        <w:rPr>
          <w:sz w:val="20"/>
          <w:szCs w:val="20"/>
          <w:color w:val="auto"/>
        </w:rPr>
      </w:pPr>
      <w:r>
        <w:rPr>
          <w:rFonts w:ascii="Times New Roman" w:cs="Times New Roman" w:eastAsia="Times New Roman" w:hAnsi="Times New Roman"/>
          <w:sz w:val="18"/>
          <w:szCs w:val="18"/>
          <w:color w:val="auto"/>
        </w:rPr>
        <w:t>Our website address is www.silabs.com. Our annual report on Form 10-K, quarterly reports on Form 10-Q, current reports on Form 8-K and amendments to those reports filed or furnished pursuant to Section 13(a) or 15(d) of the Securities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Exchange Act of 1934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Annual Report on Form 10-K.</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Merger</w:t>
      </w:r>
    </w:p>
    <w:p>
      <w:pPr>
        <w:spacing w:after="0" w:line="224" w:lineRule="exact"/>
        <w:rPr>
          <w:sz w:val="20"/>
          <w:szCs w:val="20"/>
          <w:color w:val="auto"/>
        </w:rPr>
      </w:pPr>
    </w:p>
    <w:p>
      <w:pPr>
        <w:ind w:left="640" w:right="500" w:hanging="313"/>
        <w:spacing w:after="0" w:line="25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complete the proposed Merger within the time frame we anticipate, or at all, which could have an adverse effect on our business, financial condition, results of operations, cash flows and stock price</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Merger could adversely affect our business, results of operations, cash flows and financial condition</w:t>
      </w:r>
    </w:p>
    <w:p>
      <w:pPr>
        <w:spacing w:after="0" w:line="6" w:lineRule="exact"/>
        <w:rPr>
          <w:rFonts w:ascii="Times New Roman" w:cs="Times New Roman" w:eastAsia="Times New Roman" w:hAnsi="Times New Roman"/>
          <w:sz w:val="18"/>
          <w:szCs w:val="18"/>
          <w:color w:val="auto"/>
        </w:rPr>
      </w:pPr>
    </w:p>
    <w:p>
      <w:pPr>
        <w:ind w:left="640" w:right="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limit our ability to pursue alternatives to the Merger and that could deter or discourage a competing acquirer from making a favorable alternative transaction proposal</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Merger Agreement is in effect, we are subject to restrictions on our business activities</w:t>
      </w:r>
    </w:p>
    <w:p>
      <w:pPr>
        <w:spacing w:after="0" w:line="6"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may arise in connection with the Merger, which could delay or prevent completion of the Merger and adversely affect our business, results of operations, cash flows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4" w:lineRule="exact"/>
        <w:rPr>
          <w:sz w:val="20"/>
          <w:szCs w:val="20"/>
          <w:color w:val="auto"/>
        </w:rPr>
      </w:pPr>
    </w:p>
    <w:p>
      <w:pPr>
        <w:ind w:left="640" w:right="40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the victim of business disruptions and security breaches, including cyber-attacks, which could lead to liability or could damage our reputation and financial results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information technology failures that could damage our reputation, business operations and financial condition</w:t>
      </w:r>
    </w:p>
    <w:p>
      <w:pPr>
        <w:spacing w:after="0" w:line="6" w:lineRule="exact"/>
        <w:rPr>
          <w:rFonts w:ascii="Times New Roman" w:cs="Times New Roman" w:eastAsia="Times New Roman" w:hAnsi="Times New Roman"/>
          <w:sz w:val="18"/>
          <w:szCs w:val="18"/>
          <w:color w:val="auto"/>
        </w:rPr>
      </w:pPr>
    </w:p>
    <w:p>
      <w:pPr>
        <w:ind w:left="640" w:right="26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global or industry-specific shortages of memory components or other key components necessary for our customers’ products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numerous markets we target may reduce sales of our products and reduce our market share</w:t>
      </w:r>
    </w:p>
    <w:p>
      <w:pPr>
        <w:spacing w:after="0" w:line="6" w:lineRule="exact"/>
        <w:rPr>
          <w:rFonts w:ascii="Times New Roman" w:cs="Times New Roman" w:eastAsia="Times New Roman" w:hAnsi="Times New Roman"/>
          <w:sz w:val="18"/>
          <w:szCs w:val="18"/>
          <w:color w:val="auto"/>
        </w:rPr>
      </w:pPr>
    </w:p>
    <w:p>
      <w:pPr>
        <w:ind w:left="640" w:right="36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or acquire new and enhanced products that achieve market acceptance in a timely manner, our operating results and competitive position could be harmed</w:t>
      </w:r>
    </w:p>
    <w:p>
      <w:pPr>
        <w:ind w:left="640" w:right="38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 w:lineRule="exact"/>
        <w:rPr>
          <w:rFonts w:ascii="Times New Roman" w:cs="Times New Roman" w:eastAsia="Times New Roman" w:hAnsi="Times New Roman"/>
          <w:sz w:val="18"/>
          <w:szCs w:val="18"/>
          <w:color w:val="auto"/>
        </w:rPr>
      </w:pPr>
    </w:p>
    <w:p>
      <w:pPr>
        <w:ind w:left="640" w:right="18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resources compared to some of our current and potential competitors and we may not be able to compete effectively and increase market share</w:t>
      </w: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tariffs, trade restrictions, and other barriers to international trade</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assemble and test our products, which subjects us to risks of disruptions in our supply chain</w:t>
      </w:r>
    </w:p>
    <w:p>
      <w:pPr>
        <w:spacing w:after="0" w:line="6" w:lineRule="exact"/>
        <w:rPr>
          <w:rFonts w:ascii="Times New Roman" w:cs="Times New Roman" w:eastAsia="Times New Roman" w:hAnsi="Times New Roman"/>
          <w:sz w:val="18"/>
          <w:szCs w:val="18"/>
          <w:color w:val="auto"/>
        </w:rPr>
      </w:pPr>
    </w:p>
    <w:p>
      <w:pPr>
        <w:ind w:left="640" w:right="2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global company, which subjects us to additional business risks including logistical and financial complexity, supply disruption, political instability and currency fluctuations</w:t>
      </w:r>
    </w:p>
    <w:p>
      <w:pPr>
        <w:ind w:left="640" w:right="22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which has been subject to significant fluctuations</w:t>
      </w:r>
    </w:p>
    <w:p>
      <w:pPr>
        <w:spacing w:after="0" w:line="6" w:lineRule="exact"/>
        <w:rPr>
          <w:rFonts w:ascii="Times New Roman" w:cs="Times New Roman" w:eastAsia="Times New Roman" w:hAnsi="Times New Roman"/>
          <w:sz w:val="18"/>
          <w:szCs w:val="18"/>
          <w:color w:val="auto"/>
        </w:rPr>
      </w:pPr>
    </w:p>
    <w:p>
      <w:pPr>
        <w:ind w:left="640" w:right="26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historical growth and may experience significant period-to-period fluctuations in our revenues and operating results, which may result in volatility in our stock price</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growth could materially and adversely affect our business</w:t>
      </w:r>
    </w:p>
    <w:p>
      <w:pPr>
        <w:spacing w:after="0" w:line="6" w:lineRule="exact"/>
        <w:rPr>
          <w:rFonts w:ascii="Times New Roman" w:cs="Times New Roman" w:eastAsia="Times New Roman" w:hAnsi="Times New Roman"/>
          <w:sz w:val="18"/>
          <w:szCs w:val="18"/>
          <w:color w:val="auto"/>
        </w:rPr>
      </w:pPr>
    </w:p>
    <w:p>
      <w:pPr>
        <w:ind w:left="640" w:righ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make could disrupt our business and harm our financial condition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our products could decrease rapidly which may negatively impact our revenues and gross profit</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distribution channel relationships could impede our future growth</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commitments from our customers</w:t>
      </w:r>
    </w:p>
    <w:p>
      <w:pPr>
        <w:spacing w:after="0" w:line="6" w:lineRule="exact"/>
        <w:rPr>
          <w:rFonts w:ascii="Times New Roman" w:cs="Times New Roman" w:eastAsia="Times New Roman" w:hAnsi="Times New Roman"/>
          <w:sz w:val="18"/>
          <w:szCs w:val="18"/>
          <w:color w:val="auto"/>
        </w:rPr>
      </w:pPr>
    </w:p>
    <w:p>
      <w:pPr>
        <w:ind w:left="640" w:right="36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increased inventory risks and costs because we build our products based on forecasts provided by customers before receiving purchase orders for the products</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complex and may contain errors which could lead to liability, an increase in our costs and/or a reduction in our revenues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require our products to undergo a lengthy and expensive qualification process without any assurance of product sales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product concentration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could harm our financial condition</w:t>
      </w:r>
    </w:p>
    <w:p>
      <w:pPr>
        <w:spacing w:after="0" w:line="6" w:lineRule="exact"/>
        <w:rPr>
          <w:rFonts w:ascii="Times New Roman" w:cs="Times New Roman" w:eastAsia="Times New Roman" w:hAnsi="Times New Roman"/>
          <w:sz w:val="18"/>
          <w:szCs w:val="18"/>
          <w:color w:val="auto"/>
        </w:rPr>
      </w:pPr>
    </w:p>
    <w:p>
      <w:pPr>
        <w:ind w:left="640" w:right="100" w:hanging="313"/>
        <w:spacing w:after="0" w:line="262"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customers to support our products, and some of our customers offer competing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privacy and data security/protection laws could have an adverse effect on our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must conform to industry standards and technology in order to be accepted by end users in our markets</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4" w:lineRule="exact"/>
        <w:rPr>
          <w:sz w:val="20"/>
          <w:szCs w:val="20"/>
          <w:color w:val="auto"/>
        </w:rPr>
      </w:pPr>
    </w:p>
    <w:p>
      <w:pPr>
        <w:ind w:left="640" w:right="560" w:hanging="313"/>
        <w:spacing w:after="0" w:line="25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over intellectual property in our industry may cause us to become involved in costly and lengthy litigation which could adversely affect our business</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intellectual property, which would negatively affect our ability to compete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4"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financial services industry could adversely affect our operations and financial condition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credit risks related to our accounts receivable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borrowings under our credit agreement or other indebtedness could adversely affect our operations and financial condition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seek to raise additional debt or equity capital in the future, but additional capital may not be available on terms acceptable to us, or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4"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w:t>
      </w:r>
    </w:p>
    <w:p>
      <w:pPr>
        <w:spacing w:after="0" w:line="25"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Delaware law could prevent, delay or impede a change in control of us and may reduce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Merger</w:t>
      </w:r>
    </w:p>
    <w:p>
      <w:pPr>
        <w:spacing w:after="0" w:line="220"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b w:val="1"/>
          <w:bCs w:val="1"/>
          <w:color w:val="auto"/>
        </w:rPr>
        <w:t>We may not complete the proposed Merger within the time frame we anticipate, or at all, which could have an adverse effect on our business, financial condition, results of operations, cash flows and stock price</w:t>
      </w:r>
    </w:p>
    <w:p>
      <w:pPr>
        <w:spacing w:after="0" w:line="160" w:lineRule="exact"/>
        <w:rPr>
          <w:sz w:val="20"/>
          <w:szCs w:val="20"/>
          <w:color w:val="auto"/>
        </w:rPr>
      </w:pPr>
    </w:p>
    <w:p>
      <w:pPr>
        <w:ind w:right="160" w:firstLine="320"/>
        <w:spacing w:after="0" w:line="253" w:lineRule="auto"/>
        <w:rPr>
          <w:sz w:val="20"/>
          <w:szCs w:val="20"/>
          <w:color w:val="auto"/>
        </w:rPr>
      </w:pPr>
      <w:r>
        <w:rPr>
          <w:rFonts w:ascii="Times New Roman" w:cs="Times New Roman" w:eastAsia="Times New Roman" w:hAnsi="Times New Roman"/>
          <w:sz w:val="18"/>
          <w:szCs w:val="18"/>
          <w:color w:val="auto"/>
        </w:rPr>
        <w:t>On February 4, 2026, we entered into the Merger Agreement with Parent and Merger Subsidiary, pursuant to which Merger Subsidiary will be merged with and into us, with us continuing as the surviving company and a wholly owned subsidiary of Parent. If the Merger is completed, we will become a privately held company, meaning that our common stock will be delisted from the NASDAQ National Market and deregistered under the Securities Exchange Act of 1934. Completion of the Merger is subject to a number of closing conditions, including obtaining approval of our stockholders at a special meeting of stockholders and the receipt of required regulatory approvals. The failure to satisfy these closing conditions could jeopardize or delay the consummation of the Merger.</w:t>
      </w:r>
    </w:p>
    <w:p>
      <w:pPr>
        <w:spacing w:after="0" w:line="185"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Each party’s obligation to consummate the Merger is also subject to the accuracy of the representations and warranties of the other party (subject to certain materiality qualifications) and the performance in all material respects of the other party’s covenants under the Merger Agreement, including, with respect to us, covenants regarding operation of our business prior to closing. In addition, the Merger Agreement may be terminated under certain specified circumstances. Certain conditions to the completion of the pending Merger are not within our control, and we cannot predict when or if these conditions will be satisfied (or waived, as applicable). As a result, we cannot assure you that the Merger will be completed.</w:t>
      </w:r>
    </w:p>
    <w:p>
      <w:pPr>
        <w:spacing w:after="0" w:line="186"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If the Merger is not completed within the expected time frame, or at all, we may be subject to a number of material risks. To the extent that the current market price of our common stock reflects an assumption that the Merger will be completed, the price of our common stock could decrease if the Merger is not completed and stockholders may not recover their investment or receive a price for their shares of our common stock similar to what has been offered under the Merger Agreement. Further, investor confidence in us could decline, and stockholder litigation could be brought against us. Additionally, we may be required to pay a termination fee under certain circumstances that give rise to a termination of the Merger Agreement.</w:t>
      </w:r>
    </w:p>
    <w:p>
      <w:pPr>
        <w:spacing w:after="0" w:line="186" w:lineRule="exact"/>
        <w:rPr>
          <w:sz w:val="20"/>
          <w:szCs w:val="20"/>
          <w:color w:val="auto"/>
        </w:rPr>
      </w:pPr>
    </w:p>
    <w:p>
      <w:pPr>
        <w:jc w:val="both"/>
        <w:ind w:right="420" w:firstLine="320"/>
        <w:spacing w:after="0" w:line="262" w:lineRule="auto"/>
        <w:rPr>
          <w:sz w:val="20"/>
          <w:szCs w:val="20"/>
          <w:color w:val="auto"/>
        </w:rPr>
      </w:pPr>
      <w:r>
        <w:rPr>
          <w:rFonts w:ascii="Times New Roman" w:cs="Times New Roman" w:eastAsia="Times New Roman" w:hAnsi="Times New Roman"/>
          <w:sz w:val="18"/>
          <w:szCs w:val="18"/>
          <w:color w:val="auto"/>
        </w:rPr>
        <w:t>In addition, we have incurred, and will continue to incur, significant costs, expenses and fees for professional services and other transaction costs in connection with the Merger, including for activities that we would have not undertaken other than to complete the Merger. As a result, to the extent the Merger is not completed, we will receive little or no benefit from incurring these costs.</w:t>
      </w:r>
    </w:p>
    <w:p>
      <w:pPr>
        <w:spacing w:after="0" w:line="176"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Even if successfully completed, there are certain risks to our stockholders from the Merger, including: the amount of cash per outstanding share of our common stock to be paid under the Merger Agreement is fixed and will not be adjusted for changes in our business, assets, liabilities, prospects, outlook, financial condition or operating results or in the event of any change in the market price of, analyst estimates of, or projections relating to, our common stock; receipt of the all-cash per share Merger consideration under the Merger Agreement is taxable to stockholders that are treated as U.S. holders for U.S. federal income tax purposes; and if the Merger is completed, our stockholders will forego the opportunity to realize the potential long-term value of the successful execution of our current business strategy as an independent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associated with the Merger could adversely affect our business, results of operations, cash flows and financial condition</w:t>
      </w:r>
    </w:p>
    <w:p>
      <w:pPr>
        <w:spacing w:after="0" w:line="224"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The announcement and pendency of the Merger, as well as any delays in the expected timeframe, could cause disruption in our business and create uncertainties, which could have an adverse effect on our business, results of operations, cash flows and financial condition, regardless of whether the Merger is completed. These risks and uncertainties include, but are not limited to:</w:t>
      </w:r>
    </w:p>
    <w:p>
      <w:pPr>
        <w:spacing w:after="0" w:line="176" w:lineRule="exact"/>
        <w:rPr>
          <w:sz w:val="20"/>
          <w:szCs w:val="20"/>
          <w:color w:val="auto"/>
        </w:rPr>
      </w:pPr>
    </w:p>
    <w:p>
      <w:pPr>
        <w:ind w:left="640" w:right="140" w:hanging="313"/>
        <w:spacing w:after="0" w:line="269"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relationship with suppliers, customers and employees could be adversely affected, including if our suppliers, customers or others attempt to negotiate changes in existing business relationships, consider entering into business relationships with parties other than us, delay or defer decisions concerning their business with us, or terminate their existing business relationships with us during the pendency of the Merger;</w:t>
      </w:r>
    </w:p>
    <w:p>
      <w:pPr>
        <w:spacing w:after="0" w:line="2" w:lineRule="exact"/>
        <w:rPr>
          <w:rFonts w:ascii="Times New Roman" w:cs="Times New Roman" w:eastAsia="Times New Roman" w:hAnsi="Times New Roman"/>
          <w:sz w:val="17"/>
          <w:szCs w:val="17"/>
          <w:color w:val="auto"/>
        </w:rPr>
      </w:pPr>
    </w:p>
    <w:p>
      <w:pPr>
        <w:ind w:left="640" w:right="140" w:hanging="313"/>
        <w:spacing w:after="0" w:line="25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caused by any negative sentiment in the marketplace with respect to the Merger, which could adversely impact investor confidence in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a significant amount of management time and resources toward the completion of the Merger;</w:t>
      </w:r>
    </w:p>
    <w:p>
      <w:pPr>
        <w:spacing w:after="0" w:line="25" w:lineRule="exact"/>
        <w:rPr>
          <w:rFonts w:ascii="Times New Roman" w:cs="Times New Roman" w:eastAsia="Times New Roman" w:hAnsi="Times New Roman"/>
          <w:sz w:val="18"/>
          <w:szCs w:val="18"/>
          <w:color w:val="auto"/>
        </w:rPr>
      </w:pPr>
    </w:p>
    <w:p>
      <w:pPr>
        <w:ind w:left="640" w:right="460" w:hanging="313"/>
        <w:spacing w:after="0" w:line="24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distraction of our current employees as a result of the Merger, which could result in a decline in their productivity or cause distractions in the workplace;</w:t>
      </w: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certain restrictions on the conduct of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foregoing certain business opportunities that we might otherwise pursue absent the pending Merger;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key employees due to uncertainties related to the Merger;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costs related to completion of the Merger; and</w:t>
      </w:r>
    </w:p>
    <w:p>
      <w:pPr>
        <w:spacing w:after="0" w:line="6" w:lineRule="exact"/>
        <w:rPr>
          <w:rFonts w:ascii="Times New Roman" w:cs="Times New Roman" w:eastAsia="Times New Roman" w:hAnsi="Times New Roman"/>
          <w:sz w:val="18"/>
          <w:szCs w:val="18"/>
          <w:color w:val="auto"/>
        </w:rPr>
      </w:pPr>
    </w:p>
    <w:p>
      <w:pPr>
        <w:ind w:left="640" w:right="120" w:hanging="313"/>
        <w:spacing w:after="0" w:line="25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beyond our control, including, but not limited to, changes in domestic or global economic conditions that may affect the timing or success of the Merger.</w:t>
      </w:r>
    </w:p>
    <w:p>
      <w:pPr>
        <w:spacing w:after="0" w:line="182"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The adverse effects of the pendency of the Merger could be exacerbated by any delays in completion of the Merger or termination of the Merger Agreement. As a result, there can be no assurance that our business, results of operations, cash flows and financial condition will not be adversely affected, as compared to prior to the announcement of the Merger Agreement.</w:t>
      </w:r>
    </w:p>
    <w:p>
      <w:pPr>
        <w:spacing w:after="0" w:line="172"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b w:val="1"/>
          <w:bCs w:val="1"/>
          <w:color w:val="auto"/>
        </w:rPr>
        <w:t>The Merger Agreement contains provisions that limit our ability to pursue alternatives to the Merger and that could deter or discourage a competing acquirer from making a favorable alternative transaction proposal</w:t>
      </w:r>
    </w:p>
    <w:p>
      <w:pPr>
        <w:spacing w:after="0" w:line="160"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Under the Merger Agreement, we are subject to “no-shop” restrictions and are not permitted, subject to certain exceptions set forth in the Merger Agreement, to initiate, solicit or knowingly encourage or facilitate any inquiries or the making of any proposal or offer by or with a third party with respect to an acquisition proposal and to furnish nonpublic information to, or engage in discussions or negotiations with, a third party interested in pursuing an alternative transaction. Further, our board of directors is required to recommend that our stockholders vote in favor of the Merger, subject to exceptions for superior proposals and other situations where failure to effect a recommendation change would be inconsistent with the board of directors’ fiduciary duties. Upon the termination of the Merger Agreement under specified circumstances, including, among others, the termination by the Parent in the event of a Change of Recommendation (as defined in the Merger Agreement) by our board of directors, we would be required to pay Parent a termination fee of $259 million. Such provisions of the Merger Agreement could discourage or deter a third party that may be willing to pay more than Parent for our outstanding common stock from considering or proposing such an acquisition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While the Merger Agreement is in effect, we are subject to restrictions on our business activities</w:t>
      </w:r>
    </w:p>
    <w:p>
      <w:pPr>
        <w:spacing w:after="0" w:line="224" w:lineRule="exact"/>
        <w:rPr>
          <w:sz w:val="20"/>
          <w:szCs w:val="20"/>
          <w:color w:val="auto"/>
        </w:rPr>
      </w:pPr>
    </w:p>
    <w:p>
      <w:pPr>
        <w:ind w:right="280" w:firstLine="320"/>
        <w:spacing w:after="0" w:line="252" w:lineRule="auto"/>
        <w:rPr>
          <w:sz w:val="20"/>
          <w:szCs w:val="20"/>
          <w:color w:val="auto"/>
        </w:rPr>
      </w:pPr>
      <w:r>
        <w:rPr>
          <w:rFonts w:ascii="Times New Roman" w:cs="Times New Roman" w:eastAsia="Times New Roman" w:hAnsi="Times New Roman"/>
          <w:sz w:val="18"/>
          <w:szCs w:val="18"/>
          <w:color w:val="auto"/>
        </w:rPr>
        <w:t>Under the terms of the Merger Agreement, we are subject to restrictions on our business activities, including, among other things, restrictions on our ability to pay dividends; acquire other businesses and assets; dispose of our assets; enter into or materially modify certain contracts; repurchase, adjust the terms of or issue securities; make certain capital expenditures; settle certain legal actions; take certain actions relating to intellectual property; take certain action related to employee benefit plans; amend our organizational documents; and incur certain indebtedness. Because of these restrictions, we may be prevented from taking certain actions with respect to the conduct of our business that we might otherwise have taken if not for the Merger Agreement, including responding effectively and/or timely to competitive pressures and industry developments, which could have a material adverse effect on our business, results of operations, cash flows and financial condition.</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color w:val="auto"/>
        </w:rPr>
        <w:t>Lawsuits may arise in connection with the Merger, which could delay or prevent completion of the Merger and adversely affect our business, results of operations, cash flows and financial condition</w:t>
      </w:r>
    </w:p>
    <w:p>
      <w:pPr>
        <w:spacing w:after="0" w:line="160"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Lawsuits relating to the Merger could be filed against us and our directors and officers, including by our stockholders. Although litigation is common in connection with acquisitions of public companies, regardless of any merits related to the underlying acquisition, the outcome of any litigation cannot be assured and could delay or prevent completion of the Merger. Additionally, the amount of fees and costs of defense, including costs associated with the indemnification of directors and officers, and other liabilities that may be incurred in connection with lawsuits and other negative effects, such as diversion of resources from the Merger and ongoing business activities, negative publicity or damage to our relationships with business partners, suppliers and customers, could have a material adverse effect on our business, results of operations, cash flows and financial condition.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6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artificial intelligence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 Additionally, there is an increased risk that we may experience cybersecurity-related events such as phishing attacks and other security challenges as a result of hybrid working arrangements and employees and our service providers working remotely.</w:t>
      </w:r>
    </w:p>
    <w:p>
      <w:pPr>
        <w:spacing w:after="0" w:line="189"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In addition, the risk of cyber-attacks has increased in recent years in connection with geopolitical events, and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4" w:lineRule="exact"/>
        <w:rPr>
          <w:sz w:val="20"/>
          <w:szCs w:val="20"/>
          <w:color w:val="auto"/>
        </w:rPr>
      </w:pPr>
    </w:p>
    <w:p>
      <w:pPr>
        <w:ind w:right="140" w:firstLine="320"/>
        <w:spacing w:after="0" w:line="251" w:lineRule="auto"/>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including those described in the preceding risk factor. Our security measures may not prevent or detect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90" w:lineRule="exact"/>
        <w:rPr>
          <w:sz w:val="20"/>
          <w:szCs w:val="20"/>
          <w:color w:val="auto"/>
        </w:rPr>
      </w:pPr>
    </w:p>
    <w:p>
      <w:pPr>
        <w:jc w:val="both"/>
        <w:ind w:right="560" w:firstLine="320"/>
        <w:spacing w:after="0" w:line="262"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financial results. Additionally, a successful cyber-attack against one of these third parties’ information technology systems may disrupt our supply chain.</w:t>
      </w:r>
    </w:p>
    <w:p>
      <w:pPr>
        <w:spacing w:after="0" w:line="22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and adversely affected by global or industry-specific shortages of memory components or other key components necessary for our customers’ products</w:t>
      </w:r>
    </w:p>
    <w:p>
      <w:pPr>
        <w:spacing w:after="0" w:line="160"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Our customers’ products often incorporate third-party memory components, such as DRAM or NAND, that are sourced from a limited number of suppliers. The memory market has in the past experienced supply imbalances, capacity constraints, and pricing volatility, and the industry is currently experiencing a global shortage of certain memory components as a result of AI-driven demand. These conditions are likely to impact our customers and may limit their ability to manufacture their end products or may cause them to adjust production schedules, delay product launches, or revise demand forecasts, which in turn could lead them to reduce, delay, or cancel orders for our products, even when demand for their end products remains strong. The current shortage and resulting price increase for memory components also may lead our customers to increase prices of their end products, which could lead to decreased demand those products, negatively impacting orders for our products in the longer term. In addition, uncertainty regarding the availability or pricing of memory components or other key components may impair our ability to accurately forecast demand, manage inventory levels, or plan production. Any of these factors could adversely affect our business, financial condition, and results of operations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4" w:lineRule="exact"/>
        <w:rPr>
          <w:sz w:val="20"/>
          <w:szCs w:val="20"/>
          <w:color w:val="auto"/>
        </w:rPr>
      </w:pPr>
    </w:p>
    <w:p>
      <w:pPr>
        <w:ind w:firstLine="320"/>
        <w:spacing w:after="0" w:line="250"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8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60"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1"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w:t>
      </w:r>
    </w:p>
    <w:p>
      <w:pPr>
        <w:spacing w:after="0" w:line="220"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The IoT market depends on the ongoing evolution and adoption of industry standards; fragmentation across the ecosystems/implementations could slow adoption.</w:t>
      </w:r>
    </w:p>
    <w:p>
      <w:pPr>
        <w:spacing w:after="0" w:line="182" w:lineRule="exact"/>
        <w:rPr>
          <w:sz w:val="20"/>
          <w:szCs w:val="20"/>
          <w:color w:val="auto"/>
        </w:rPr>
      </w:pPr>
    </w:p>
    <w:p>
      <w:pPr>
        <w:jc w:val="both"/>
        <w:ind w:right="400"/>
        <w:spacing w:after="0" w:line="264"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fiscal 2025 was $353.2 million, or 45.0%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8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60" w:lineRule="exact"/>
        <w:rPr>
          <w:sz w:val="20"/>
          <w:szCs w:val="20"/>
          <w:color w:val="auto"/>
        </w:rPr>
      </w:pPr>
    </w:p>
    <w:p>
      <w:pPr>
        <w:ind w:firstLine="320"/>
        <w:spacing w:after="0" w:line="265" w:lineRule="auto"/>
        <w:rPr>
          <w:sz w:val="20"/>
          <w:szCs w:val="20"/>
          <w:color w:val="auto"/>
        </w:rPr>
      </w:pPr>
      <w:r>
        <w:rPr>
          <w:rFonts w:ascii="Times New Roman" w:cs="Times New Roman" w:eastAsia="Times New Roman" w:hAnsi="Times New Roman"/>
          <w:sz w:val="17"/>
          <w:szCs w:val="17"/>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 w:cs="Times New Roman" w:eastAsia="Times New Roman" w:hAnsi="Times New Roman"/>
          <w:sz w:val="17"/>
          <w:szCs w:val="17"/>
          <w:i w:val="1"/>
          <w:iCs w:val="1"/>
          <w:color w:val="auto"/>
        </w:rPr>
        <w:t>Our business,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results of operations could be materially and adversely affected by tariffs, trade restrictions, and other barriers to international trade.</w:t>
      </w:r>
      <w:r>
        <w:rPr>
          <w:rFonts w:ascii="Times New Roman" w:cs="Times New Roman" w:eastAsia="Times New Roman" w:hAnsi="Times New Roman"/>
          <w:sz w:val="17"/>
          <w:szCs w:val="17"/>
          <w:color w:val="auto"/>
        </w:rPr>
        <w:t>” Furthermore,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or potential competitors may be acquired by third parties with 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178" w:lineRule="exact"/>
        <w:rPr>
          <w:sz w:val="20"/>
          <w:szCs w:val="20"/>
          <w:color w:val="auto"/>
        </w:rPr>
      </w:pPr>
    </w:p>
    <w:p>
      <w:pPr>
        <w:jc w:val="both"/>
        <w:ind w:right="40" w:firstLine="320"/>
        <w:spacing w:after="0" w:line="254" w:lineRule="auto"/>
        <w:rPr>
          <w:sz w:val="20"/>
          <w:szCs w:val="20"/>
          <w:color w:val="auto"/>
        </w:rPr>
      </w:pPr>
      <w:r>
        <w:rPr>
          <w:rFonts w:ascii="Times New Roman" w:cs="Times New Roman" w:eastAsia="Times New Roman" w:hAnsi="Times New Roman"/>
          <w:sz w:val="18"/>
          <w:szCs w:val="18"/>
          <w:color w:val="auto"/>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the current administration’s creation of the US Investment Accelerator and its negotiations of grants under the CHIPS Act may make the availability of any such incentives even less certain. If our competitors can benefit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from such government incentives and we cannot, it could strengthen our competitors’ relative position and have a material adverse effect on our reputation and business.</w:t>
      </w:r>
    </w:p>
    <w:p>
      <w:pPr>
        <w:spacing w:after="0" w:line="15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and adversely affected by tariffs, trade restrictions, and other barriers to international trade</w:t>
      </w:r>
    </w:p>
    <w:p>
      <w:pPr>
        <w:spacing w:after="0" w:line="16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Restrictions on international trade, such as tariffs and other controls on imports or exports of goods and technology can adversely affect our business and supply chain. These trade restrictions may impact the cost and availability of raw materials, components, and finished goods, which could lead to supply chain disruptions, increased costs, and lower margins. There is currently significant uncertainty about the future relationship between the U.S. and various other countries with respect to trade policies and tariffs. Export restrictions imposed by the U.S. government, including the addition of licensing requirements by the United States Department of Commerce’s Bureau of Industry and Security (“BIS”) through the addition of companies to the BIS Entity List, could require us to suspend our business with certain entities if we conclude or are notified by the U.S. government that such business presents a risk of noncompliance with U.S. regulations. The global trade situation has been highly dynamic, and we cannot predict what actions may be taken with respect to tariffs or trade relations, what products may be subject to such actions, or what actions may be taken by other countries in response. In addition to the possibility of new or modified tariffs, sector-based trade measures may be implemented. For example, the U.S. Department of Commerce initiated an investigation into imports of semiconductors, semiconductor manufacturing equipment, and related products. The rapid and fluctuating changes in global trade policies have contributed to greater market volatility and general economic uncertainties, including the risk of inflation and recession, and could adversely affect customer demand, delay purchasing decisions, or limit our ability to operate efficiently in key markets. If we are unable to mitigate any negative impacts of tariffs, trade restrictions, or related market volatility through pricing adjustments, operational efficiencies, or alternative sourcing strategies, our business, financial condition, and results of operations could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which subjects us to risks of disruptions in our supply chain</w:t>
      </w:r>
    </w:p>
    <w:p>
      <w:pPr>
        <w:spacing w:after="0" w:line="224" w:lineRule="exact"/>
        <w:rPr>
          <w:sz w:val="20"/>
          <w:szCs w:val="20"/>
          <w:color w:val="auto"/>
        </w:rPr>
      </w:pPr>
    </w:p>
    <w:p>
      <w:pPr>
        <w:ind w:right="200" w:firstLine="320"/>
        <w:spacing w:after="0" w:line="257"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1" w:lineRule="exact"/>
        <w:rPr>
          <w:sz w:val="20"/>
          <w:szCs w:val="20"/>
          <w:color w:val="auto"/>
        </w:rPr>
      </w:pPr>
    </w:p>
    <w:p>
      <w:pPr>
        <w:ind w:right="320" w:firstLine="320"/>
        <w:spacing w:after="0" w:line="257"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0"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suppliers’ operations due to geopolitical changes, including risks related to tensions between China and Taiwan;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supply chain resulting from cyber-attacks on our suppliers’ information technology systems;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01"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whatever reason, we expect that it would take up to 12 months to transition performance of these services to new providers. Such a transition may also require qualification of the new providers by our customers or their end customers.</w:t>
      </w:r>
    </w:p>
    <w:p>
      <w:pPr>
        <w:spacing w:after="0" w:line="163" w:lineRule="exact"/>
        <w:rPr>
          <w:sz w:val="20"/>
          <w:szCs w:val="20"/>
          <w:color w:val="auto"/>
        </w:rPr>
      </w:pPr>
    </w:p>
    <w:p>
      <w:pPr>
        <w:ind w:right="60" w:firstLine="320"/>
        <w:spacing w:after="0" w:line="262"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we may have difficulty sourcing materials necessary to fulfill production requirements. Public health crises may affect our suppliers’ production capabilities as a result of quarantines, closures of production facilities, lack of supplies or delays caused by restrictions on travel.</w:t>
      </w:r>
    </w:p>
    <w:p>
      <w:pPr>
        <w:spacing w:after="0" w:line="176" w:lineRule="exact"/>
        <w:rPr>
          <w:sz w:val="20"/>
          <w:szCs w:val="20"/>
          <w:color w:val="auto"/>
        </w:rPr>
      </w:pPr>
    </w:p>
    <w:p>
      <w:pPr>
        <w:ind w:right="120" w:firstLine="320"/>
        <w:spacing w:after="0" w:line="251"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spacing w:after="0" w:line="18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supply disruption, political instability and currency fluctuations</w:t>
      </w:r>
    </w:p>
    <w:p>
      <w:pPr>
        <w:spacing w:after="0" w:line="160"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During fiscal 2025, the percentage of our revenues derived from outside of the United States was 91% (and the revenue associated with end customers in China was 15%, and revenue attributed to China based on shipped-to location was 33%). We may not be able to maintain or increase global market demand for our products. Our international operations are subject to a number of risks, including:</w:t>
      </w:r>
    </w:p>
    <w:p>
      <w:pPr>
        <w:spacing w:after="0" w:line="186" w:lineRule="exact"/>
        <w:rPr>
          <w:sz w:val="20"/>
          <w:szCs w:val="20"/>
          <w:color w:val="auto"/>
        </w:rPr>
      </w:pPr>
    </w:p>
    <w:p>
      <w:pPr>
        <w:ind w:left="640" w:right="540" w:hanging="313"/>
        <w:spacing w:after="0" w:line="25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ind w:left="640" w:right="16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trade policies;</w:t>
      </w:r>
    </w:p>
    <w:p>
      <w:pPr>
        <w:ind w:left="640" w:right="22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spacing w:after="0" w:line="1" w:lineRule="exact"/>
        <w:rPr>
          <w:rFonts w:ascii="Times New Roman" w:cs="Times New Roman" w:eastAsia="Times New Roman" w:hAnsi="Times New Roman"/>
          <w:sz w:val="18"/>
          <w:szCs w:val="18"/>
          <w:color w:val="auto"/>
        </w:rPr>
      </w:pPr>
    </w:p>
    <w:p>
      <w:pPr>
        <w:ind w:left="640" w:right="10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tariffs imposed on certain countries and sanctions or export controls imposed on customers or suppliers may affect our ability to sell and source our products;</w:t>
      </w: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6" w:lineRule="exact"/>
        <w:rPr>
          <w:rFonts w:ascii="Times New Roman" w:cs="Times New Roman" w:eastAsia="Times New Roman" w:hAnsi="Times New Roman"/>
          <w:sz w:val="18"/>
          <w:szCs w:val="18"/>
          <w:color w:val="auto"/>
        </w:rPr>
      </w:pPr>
    </w:p>
    <w:p>
      <w:pPr>
        <w:ind w:left="640" w:right="22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spacing w:after="0" w:line="1" w:lineRule="exact"/>
        <w:rPr>
          <w:rFonts w:ascii="Times New Roman" w:cs="Times New Roman" w:eastAsia="Times New Roman" w:hAnsi="Times New Roman"/>
          <w:sz w:val="18"/>
          <w:szCs w:val="18"/>
          <w:color w:val="auto"/>
        </w:rPr>
      </w:pPr>
    </w:p>
    <w:p>
      <w:pPr>
        <w:ind w:left="640" w:right="18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w:t>
      </w: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6" w:lineRule="exact"/>
        <w:rPr>
          <w:rFonts w:ascii="Times New Roman" w:cs="Times New Roman" w:eastAsia="Times New Roman" w:hAnsi="Times New Roman"/>
          <w:sz w:val="18"/>
          <w:szCs w:val="18"/>
          <w:color w:val="auto"/>
        </w:rPr>
      </w:pPr>
    </w:p>
    <w:p>
      <w:pPr>
        <w:ind w:left="640" w:right="100" w:hanging="313"/>
        <w:spacing w:after="0" w:line="24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demand and the supply chain may be adversely affected by military conflict (including the ongoing conflict between Russia and Ukraine and tensions in the Middle East), terrorism, sanctions or other geopolitical events globally;</w:t>
      </w: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20" w:lineRule="exact"/>
        <w:rPr>
          <w:sz w:val="20"/>
          <w:szCs w:val="20"/>
          <w:color w:val="auto"/>
        </w:rPr>
      </w:pPr>
    </w:p>
    <w:p>
      <w:pPr>
        <w:ind w:right="200" w:firstLine="320"/>
        <w:spacing w:after="0" w:line="253" w:lineRule="auto"/>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spacing w:after="0" w:line="18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6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 public health crisis,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5"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4" w:lineRule="exact"/>
        <w:rPr>
          <w:sz w:val="20"/>
          <w:szCs w:val="20"/>
          <w:color w:val="auto"/>
        </w:rPr>
      </w:pPr>
    </w:p>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9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Future downturns may adversely effect our business and operating results.</w:t>
      </w:r>
    </w:p>
    <w:p>
      <w:pPr>
        <w:spacing w:after="0" w:line="17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6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w:t>
      </w:r>
    </w:p>
    <w:p>
      <w:pPr>
        <w:spacing w:after="0" w:line="181" w:lineRule="exact"/>
        <w:rPr>
          <w:sz w:val="20"/>
          <w:szCs w:val="20"/>
          <w:color w:val="auto"/>
        </w:rPr>
      </w:pPr>
    </w:p>
    <w:p>
      <w:pPr>
        <w:ind w:right="640" w:firstLine="320"/>
        <w:spacing w:after="0" w:line="277"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3"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6" w:lineRule="exact"/>
        <w:rPr>
          <w:rFonts w:ascii="Times New Roman" w:cs="Times New Roman" w:eastAsia="Times New Roman" w:hAnsi="Times New Roman"/>
          <w:sz w:val="18"/>
          <w:szCs w:val="18"/>
          <w:color w:val="auto"/>
        </w:rPr>
      </w:pPr>
    </w:p>
    <w:p>
      <w:pPr>
        <w:ind w:left="640" w:right="180" w:hanging="313"/>
        <w:spacing w:after="0" w:line="24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and any requirements for buying and/or selling in currencies other than the U.S. dollar;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obtain other components such as capacitors that they need to incorporate in conjunction with our products, leading to potential downturn in the demand for our products;</w:t>
      </w: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6" w:lineRule="exact"/>
        <w:rPr>
          <w:rFonts w:ascii="Times New Roman" w:cs="Times New Roman" w:eastAsia="Times New Roman" w:hAnsi="Times New Roman"/>
          <w:sz w:val="18"/>
          <w:szCs w:val="18"/>
          <w:color w:val="auto"/>
        </w:rPr>
      </w:pPr>
    </w:p>
    <w:p>
      <w:pPr>
        <w:ind w:left="640" w:right="640" w:hanging="313"/>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82" w:lineRule="exact"/>
        <w:rPr>
          <w:sz w:val="20"/>
          <w:szCs w:val="20"/>
          <w:color w:val="auto"/>
        </w:rPr>
      </w:pPr>
    </w:p>
    <w:p>
      <w:pPr>
        <w:ind w:right="60" w:firstLine="320"/>
        <w:spacing w:after="0" w:line="252"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4" w:lineRule="exact"/>
        <w:rPr>
          <w:sz w:val="20"/>
          <w:szCs w:val="20"/>
          <w:color w:val="auto"/>
        </w:rPr>
      </w:pPr>
    </w:p>
    <w:p>
      <w:pPr>
        <w:ind w:right="220" w:firstLine="320"/>
        <w:spacing w:after="0" w:line="262"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8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6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 In addition, changes to immigration laws and visa policies in the United States and other jurisdictions may restrict our ability to recruit or retain foreign nationals in key technical roles. For example, the September 2025 Presidential Proclamation on Restriction on Entry of Certain Nonimmigrant Workers imposes a $100,000 filing fee on all new H-1B visa petitions submitted after September 21, 2025, which increases the cost of hiring foreign national employees, and the Department of Homeland Security has implemented a weighted lottery system based on wage levels for H-1B visas, which could disadvantage our ability to hire early-career or entry-level foreign national personnel. These regulatory constraints, including increased scrutiny or delays in visa processing, could limit our access to highly specialized talent and adversely affect our hiring flexibility and long-term innovation capacity.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183" w:lineRule="exact"/>
        <w:rPr>
          <w:sz w:val="20"/>
          <w:szCs w:val="20"/>
          <w:color w:val="auto"/>
        </w:rPr>
      </w:pPr>
    </w:p>
    <w:p>
      <w:pPr>
        <w:ind w:firstLine="320"/>
        <w:spacing w:after="0" w:line="224" w:lineRule="exact"/>
        <w:rPr>
          <w:sz w:val="20"/>
          <w:szCs w:val="20"/>
          <w:color w:val="auto"/>
        </w:rPr>
      </w:pPr>
      <w:r>
        <w:rPr>
          <w:rFonts w:ascii="Times New Roman" w:cs="Times New Roman" w:eastAsia="Times New Roman" w:hAnsi="Times New Roman"/>
          <w:sz w:val="18"/>
          <w:szCs w:val="18"/>
          <w:color w:val="auto"/>
        </w:rPr>
        <w:t>Any acquisition we pursue as part of our growth and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diversification strategy could disrupt our business and negatively affect our financial condition. Integrating acquired operations, technologies, or products may prove difficult and could divert management’s attention, require greater financial resources than planned, and strain relationships with suppliers and customers. Entering unfamiliar markets, transferring intellectual property licenses, absorbing additional overhead, addressing tax complexities, resolving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disputes, retaining key employees, and managing potential impairment of goodwill or other intangible assets all pose additional risks. Future acquisitions may also result in debt, contingent liabilities, or the issuance of equity that could dilute existing shareholders.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profit</w:t>
      </w:r>
    </w:p>
    <w:p>
      <w:pPr>
        <w:spacing w:after="0" w:line="224"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4" w:lineRule="exact"/>
        <w:rPr>
          <w:sz w:val="20"/>
          <w:szCs w:val="20"/>
          <w:color w:val="auto"/>
        </w:rPr>
      </w:pPr>
    </w:p>
    <w:p>
      <w:pPr>
        <w:jc w:val="both"/>
        <w:ind w:right="360" w:firstLine="320"/>
        <w:spacing w:after="0" w:line="262"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fiscal 2025, 71% of our revenue was derived from distributors (and 49% of our revenue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have long-term commitments from our customers</w:t>
      </w:r>
    </w:p>
    <w:p>
      <w:pPr>
        <w:spacing w:after="0" w:line="224"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1" w:lineRule="exact"/>
        <w:rPr>
          <w:sz w:val="20"/>
          <w:szCs w:val="20"/>
          <w:color w:val="auto"/>
        </w:rPr>
      </w:pPr>
    </w:p>
    <w:p>
      <w:pPr>
        <w:ind w:right="800" w:firstLine="320"/>
        <w:spacing w:after="0" w:line="277" w:lineRule="auto"/>
        <w:rPr>
          <w:sz w:val="20"/>
          <w:szCs w:val="20"/>
          <w:color w:val="auto"/>
        </w:rPr>
      </w:pPr>
      <w:r>
        <w:rPr>
          <w:rFonts w:ascii="Times New Roman" w:cs="Times New Roman" w:eastAsia="Times New Roman" w:hAnsi="Times New Roman"/>
          <w:sz w:val="18"/>
          <w:szCs w:val="18"/>
          <w:color w:val="auto"/>
        </w:rPr>
        <w:t>Customers may decide not to purchase our products at all, purchase fewer products than they did in the past, or alter their purchasing patterns, particularly because:</w:t>
      </w:r>
    </w:p>
    <w:p>
      <w:pPr>
        <w:spacing w:after="0" w:line="163" w:lineRule="exact"/>
        <w:rPr>
          <w:sz w:val="20"/>
          <w:szCs w:val="20"/>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5" w:lineRule="exact"/>
        <w:rPr>
          <w:rFonts w:ascii="Times New Roman" w:cs="Times New Roman" w:eastAsia="Times New Roman" w:hAnsi="Times New Roman"/>
          <w:sz w:val="18"/>
          <w:szCs w:val="18"/>
          <w:color w:val="auto"/>
        </w:rPr>
      </w:pPr>
    </w:p>
    <w:p>
      <w:pPr>
        <w:ind w:left="640" w:right="400" w:hanging="313"/>
        <w:spacing w:after="0" w:line="24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6" w:lineRule="exact"/>
        <w:rPr>
          <w:rFonts w:ascii="Times New Roman" w:cs="Times New Roman" w:eastAsia="Times New Roman" w:hAnsi="Times New Roman"/>
          <w:sz w:val="18"/>
          <w:szCs w:val="18"/>
          <w:color w:val="auto"/>
        </w:rPr>
      </w:pPr>
    </w:p>
    <w:p>
      <w:pPr>
        <w:ind w:left="640" w:right="320" w:hanging="313"/>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17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60" w:lineRule="exact"/>
        <w:rPr>
          <w:sz w:val="20"/>
          <w:szCs w:val="20"/>
          <w:color w:val="auto"/>
        </w:rPr>
      </w:pPr>
    </w:p>
    <w:p>
      <w:pPr>
        <w:ind w:right="120" w:firstLine="320"/>
        <w:spacing w:after="0" w:line="252"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pacing w:after="0" w:line="224"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181"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Additionally, we have used and may increase our use of new technology such as AI or generative AI to enhance our products, decrease our development times, or improve our customers’ efficiency. Evolving rules, regulations and industry standards governing AI may require us to incur greater compliance costs and restrict the use of AI in our products or technologies.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risks related to intellectual property infringement or misappropriation, data privacy and cyber security vulnerabilities. Any ineffective AI usage could negatively impact our or our customer’s business reputation and negatively impact our competitive standing.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firstLine="320"/>
        <w:spacing w:after="0" w:line="257"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81" w:lineRule="exact"/>
        <w:rPr>
          <w:sz w:val="20"/>
          <w:szCs w:val="20"/>
          <w:color w:val="auto"/>
        </w:rPr>
      </w:pPr>
    </w:p>
    <w:p>
      <w:pPr>
        <w:jc w:val="both"/>
        <w:ind w:right="60" w:firstLine="320"/>
        <w:spacing w:after="0" w:line="266" w:lineRule="auto"/>
        <w:rPr>
          <w:sz w:val="20"/>
          <w:szCs w:val="20"/>
          <w:color w:val="auto"/>
        </w:rPr>
      </w:pPr>
      <w:r>
        <w:rPr>
          <w:rFonts w:ascii="Times New Roman" w:cs="Times New Roman" w:eastAsia="Times New Roman" w:hAnsi="Times New Roman"/>
          <w:sz w:val="17"/>
          <w:szCs w:val="17"/>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w:t>
      </w:r>
    </w:p>
    <w:p>
      <w:pPr>
        <w:spacing w:after="0" w:line="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4" w:lineRule="exact"/>
        <w:rPr>
          <w:sz w:val="20"/>
          <w:szCs w:val="20"/>
          <w:color w:val="auto"/>
        </w:rPr>
      </w:pPr>
    </w:p>
    <w:p>
      <w:pPr>
        <w:ind w:right="160" w:firstLine="320"/>
        <w:spacing w:after="0" w:line="252"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critical to our future success. Because substantially all of our products incorporate technology covered by one or more of our issued U.S. patents, a finding that these patents are invalid or unenforceable could allow competitors to introduce products that reduce both the volume and price per unit of our products. As a result, our business, operating results, financial condition and cash flows could be adversely affected by a decline in demand for any of our more significant products, a failure of our products to achieve continued market acceptance, competitive products, new or revised technological standards that we are unable to address, delays in releasing new or enhanced products, or the failure of our new products to achieve market acceptance.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4" w:lineRule="exact"/>
        <w:rPr>
          <w:sz w:val="20"/>
          <w:szCs w:val="20"/>
          <w:color w:val="auto"/>
        </w:rPr>
      </w:pPr>
    </w:p>
    <w:p>
      <w:pPr>
        <w:ind w:right="140" w:firstLine="320"/>
        <w:spacing w:after="0" w:line="223" w:lineRule="exact"/>
        <w:rPr>
          <w:sz w:val="20"/>
          <w:szCs w:val="20"/>
          <w:color w:val="auto"/>
        </w:rPr>
      </w:pPr>
      <w:r>
        <w:rPr>
          <w:rFonts w:ascii="Times New Roman" w:cs="Times New Roman" w:eastAsia="Times New Roman" w:hAnsi="Times New Roman"/>
          <w:sz w:val="18"/>
          <w:szCs w:val="18"/>
          <w:color w:val="auto"/>
        </w:rPr>
        <w:t>Any past or future disposition of a business or product line could expose us to risks that may materially and adversely affect our business and operating results. These risks include diverting management’s attention from core operations, facing difficulties in separating the divested business, and potentially harming relationships with customers tied to the discontinued product line. Dispositions may also reduce our purchasing leverage with suppliers, create challenges with employee relations, and face delays or failures in completion. Additional risks arise from transferring or licensing intellectual property, not realizing anticipated benefits, encountering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claims, managing security and other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liabilities associated with transition services, addressing tax complexities, and resolving disputes related to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and escrows.</w:t>
      </w:r>
    </w:p>
    <w:p>
      <w:pPr>
        <w:spacing w:after="0" w:line="25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36"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4"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 Additionally, in certain products, some of our customers offer their own competitive products. These customers may find it advantageous to support their own offerings in the marketplace in lieu of promoting or using our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privacy and data security/protection laws could have an adverse effect on our operations</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regarding privacy, data protection and data security, such as the European Union’s General Data Protection Regulation (“GDPR”).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4"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5"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continuously evolving and products in the IoT market frequently require interoperability across multiple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standards. We may need to adjust our portfolio to meet the needs of this evolving market through acquisitions or significant new investments in research and development.</w:t>
      </w:r>
    </w:p>
    <w:p>
      <w:pPr>
        <w:spacing w:after="0" w:line="163" w:lineRule="exact"/>
        <w:rPr>
          <w:sz w:val="20"/>
          <w:szCs w:val="20"/>
          <w:color w:val="auto"/>
        </w:rPr>
      </w:pPr>
    </w:p>
    <w:p>
      <w:pPr>
        <w:ind w:right="100" w:firstLine="320"/>
        <w:spacing w:after="0" w:line="262"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color w:val="auto"/>
        </w:rPr>
        <w:t>Any material weaknesses or other deficiencies or otherwise failing to maintain an effective system of internal controls, including disclosure controls and procedures, could result in material misstatements of our financial statements or cause us to fail to meet our reporting obligations</w:t>
      </w:r>
    </w:p>
    <w:p>
      <w:pPr>
        <w:spacing w:after="0" w:line="160"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We previously identified a material weakness that existed as of the end of our fiscal 2023 and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had been remediated. 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6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85"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6" w:lineRule="exact"/>
        <w:rPr>
          <w:sz w:val="20"/>
          <w:szCs w:val="20"/>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selling or manufacturing certain products, services or processes;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which license may require the payment of substantial royalties or may not be available on reasonable terms or at all;</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time delays and lost business opportunities to develop alternative technologies or redesign products; or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201"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Additionally, 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Furthermore, any failure of third-party technology to perform properly would adversely affect sales of our products incorporating such technology.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4" w:lineRule="exact"/>
        <w:rPr>
          <w:sz w:val="20"/>
          <w:szCs w:val="20"/>
          <w:color w:val="auto"/>
        </w:rPr>
      </w:pPr>
    </w:p>
    <w:p>
      <w:pPr>
        <w:ind w:firstLine="320"/>
        <w:spacing w:after="0" w:line="267" w:lineRule="auto"/>
        <w:rPr>
          <w:sz w:val="20"/>
          <w:szCs w:val="20"/>
          <w:color w:val="auto"/>
        </w:rPr>
      </w:pPr>
      <w:r>
        <w:rPr>
          <w:rFonts w:ascii="Times New Roman" w:cs="Times New Roman" w:eastAsia="Times New Roman" w:hAnsi="Times New Roman"/>
          <w:sz w:val="17"/>
          <w:szCs w:val="17"/>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financial services industry could adversely affect our operations and financial condition</w:t>
      </w:r>
    </w:p>
    <w:p>
      <w:pPr>
        <w:spacing w:after="0" w:line="224"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borrowings under our credit agreement or other indebtedness could adversely affect our operations and financial condition</w:t>
      </w:r>
    </w:p>
    <w:p>
      <w:pPr>
        <w:spacing w:after="0" w:line="224" w:lineRule="exact"/>
        <w:rPr>
          <w:sz w:val="20"/>
          <w:szCs w:val="20"/>
          <w:color w:val="auto"/>
        </w:rPr>
      </w:pPr>
    </w:p>
    <w:p>
      <w:pPr>
        <w:ind w:right="60" w:firstLine="320"/>
        <w:spacing w:after="0" w:line="252" w:lineRule="auto"/>
        <w:rPr>
          <w:sz w:val="20"/>
          <w:szCs w:val="20"/>
          <w:color w:val="auto"/>
        </w:rPr>
      </w:pPr>
      <w:r>
        <w:rPr>
          <w:rFonts w:ascii="Times New Roman" w:cs="Times New Roman" w:eastAsia="Times New Roman" w:hAnsi="Times New Roman"/>
          <w:sz w:val="18"/>
          <w:szCs w:val="18"/>
          <w:color w:val="auto"/>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we received an extension of the waiver through the third quarter of 2025. We did not have any outstanding indebtedness under the credit facility while the waiver was in effect. We have not renewed or extended the waiver as of October 4, 2025. However, if we breach any of the covenants under our credit facility and do not obtain appropriate waivers, then, subject to any applicable cure periods, any outstanding indebtedness thereunder could be declared immediately due and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could seek to raise additional debt or equity capital in the future, but additional capital may not be available on terms acceptable to us, or at all</w:t>
      </w:r>
    </w:p>
    <w:p>
      <w:pPr>
        <w:spacing w:after="0" w:line="235"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4" w:lineRule="exact"/>
        <w:rPr>
          <w:sz w:val="20"/>
          <w:szCs w:val="20"/>
          <w:color w:val="auto"/>
        </w:rPr>
      </w:pPr>
    </w:p>
    <w:p>
      <w:pPr>
        <w:ind w:right="340" w:firstLine="320"/>
        <w:spacing w:after="0" w:line="277"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3" w:lineRule="exact"/>
        <w:rPr>
          <w:sz w:val="20"/>
          <w:szCs w:val="20"/>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6" w:lineRule="exact"/>
        <w:rPr>
          <w:rFonts w:ascii="Times New Roman" w:cs="Times New Roman" w:eastAsia="Times New Roman" w:hAnsi="Times New Roman"/>
          <w:sz w:val="18"/>
          <w:szCs w:val="18"/>
          <w:color w:val="auto"/>
        </w:rPr>
      </w:pPr>
    </w:p>
    <w:p>
      <w:pPr>
        <w:ind w:left="640" w:right="800" w:hanging="313"/>
        <w:spacing w:after="0" w:line="247"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01"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5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60" w:lineRule="exact"/>
        <w:rPr>
          <w:sz w:val="20"/>
          <w:szCs w:val="20"/>
          <w:color w:val="auto"/>
        </w:rPr>
      </w:pPr>
    </w:p>
    <w:p>
      <w:pPr>
        <w:ind w:right="140" w:firstLine="320"/>
        <w:spacing w:after="0" w:line="253"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 a classified board of directors, blank-check preferred stock, and no ability for stockholders to act by written consent or call a special meeting. Further, our bylaws include advance notice provisions for stockholder nominations of directors or proposals of new business to be considered at a stockholders meeting. Finally, our certificate of incorporation requires a supermajority vote to amend or repeal certain provisions of the certificate. We also are subject to the anti-takeover laws of Delaware which may discourage, delay or prevent someone from acquiring or merging with us, which may adversely affect the market price of our common stock.</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Our Board of Directors oversees our risk management program, and because information security is a top priority and an important component of our day-to-day operations, cybersecurity is part of our overall approach to enterprise risk management. The scope of cybersecurity risk management encompasses all aspects of business operations, including supply chain risks and production manufacturing operations. We maintain an information security management system (“ISMS”) that is certified to ISO/IEC 27001:2022. Our ISO/IEC 27001:2022 certification covers the broadest scope of information security management and information cyber risk management, including all aspects of semiconductor hardware and software design, development, validation and quality assurance, operations, manufacturing, and technology supply chain risk management. We recognize the importance of the continued protection of our employee, customer,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960"/>
        <w:spacing w:after="0" w:line="277" w:lineRule="auto"/>
        <w:rPr>
          <w:sz w:val="20"/>
          <w:szCs w:val="20"/>
          <w:color w:val="auto"/>
        </w:rPr>
      </w:pPr>
      <w:r>
        <w:rPr>
          <w:rFonts w:ascii="Times New Roman" w:cs="Times New Roman" w:eastAsia="Times New Roman" w:hAnsi="Times New Roman"/>
          <w:sz w:val="18"/>
          <w:szCs w:val="18"/>
          <w:color w:val="auto"/>
        </w:rPr>
        <w:t>supplier and partner data and address operational risks from cybersecurity threats through a cross-functional approach focused on preserving the confidentiality, integrity and availability of the information that we collect, process and store.</w:t>
      </w:r>
    </w:p>
    <w:p>
      <w:pPr>
        <w:spacing w:after="0" w:line="163" w:lineRule="exact"/>
        <w:rPr>
          <w:sz w:val="20"/>
          <w:szCs w:val="20"/>
          <w:color w:val="auto"/>
        </w:rPr>
      </w:pPr>
    </w:p>
    <w:p>
      <w:pPr>
        <w:ind w:right="180" w:firstLine="320"/>
        <w:spacing w:after="0" w:line="251" w:lineRule="auto"/>
        <w:rPr>
          <w:sz w:val="20"/>
          <w:szCs w:val="20"/>
          <w:color w:val="auto"/>
        </w:rPr>
      </w:pPr>
      <w:r>
        <w:rPr>
          <w:rFonts w:ascii="Times New Roman" w:cs="Times New Roman" w:eastAsia="Times New Roman" w:hAnsi="Times New Roman"/>
          <w:sz w:val="18"/>
          <w:szCs w:val="18"/>
          <w:color w:val="auto"/>
        </w:rPr>
        <w:t>We have implemented cybersecurity policies, processes, and controls to assist management in our assessment, identification and management of risks from cybersecurity threats. Our Security Operations team scans the infrastructure, monitors events, analyzes threats, and coordinates our incident response pursuant to our incident response plan, which includes the process to be followed for reporting of incidents. Our cybersecurity risk management involves identifying information assets, their sensitivity and potential threats, followed by assessing and prioritizing risks. We employ various tools and techniques like threat modeling, vulnerability scanners, and penetration testing. Based on the assessment, security measures are planned, prioritized and implemented. We have implemented regular security awareness training programs for employees to educate them on cybersecurity best practices and to recognize social engineering and phishing attempts. We also assess and manage cybersecurity risks associated with relevant third-party service providers, including those in our supply chain or who have access to our data or systems. Our cybersecurity process is iterative, with regular reviews and updates to help improve and keep abreast of a dynamic and continuously evolving threat landscape.</w:t>
      </w:r>
    </w:p>
    <w:p>
      <w:pPr>
        <w:spacing w:after="0" w:line="187" w:lineRule="exact"/>
        <w:rPr>
          <w:sz w:val="20"/>
          <w:szCs w:val="20"/>
          <w:color w:val="auto"/>
        </w:rPr>
      </w:pPr>
    </w:p>
    <w:p>
      <w:pPr>
        <w:ind w:right="180" w:firstLine="320"/>
        <w:spacing w:after="0" w:line="253" w:lineRule="auto"/>
        <w:rPr>
          <w:sz w:val="20"/>
          <w:szCs w:val="20"/>
          <w:color w:val="auto"/>
        </w:rPr>
      </w:pPr>
      <w:r>
        <w:rPr>
          <w:rFonts w:ascii="Times New Roman" w:cs="Times New Roman" w:eastAsia="Times New Roman" w:hAnsi="Times New Roman"/>
          <w:sz w:val="18"/>
          <w:szCs w:val="18"/>
          <w:color w:val="auto"/>
        </w:rPr>
        <w:t>In addition, we operate a Secure Software Maturity Framework (“SSMF”) program that is intended to provide a structured, risk-based framework for identifying, assessing and mitigating security risks across the lifecycle of our software components, products and related manufacturing services and operational processes. Through the SSMF program, we seek to integrate “security-by-design” requirements into product and process design, validation and quality assurance, operations and supply chain activities; perform periodic assessments of critical assets and suppliers; and track remediation of identified issues to completion. The SSMF program is designed to align with, and complement, our ISO/IEC 27001:2022-certified ISMS and other elements of our enterprise risk management program.</w:t>
      </w:r>
    </w:p>
    <w:p>
      <w:pPr>
        <w:spacing w:after="0" w:line="185"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7"/>
          <w:szCs w:val="17"/>
          <w:color w:val="auto"/>
        </w:rPr>
        <w:t>We describe whether and how risks from cybersecurity threats have materially affected or are reasonably likely to materially affect us, our business strategy, results of operations, or financial condition under the headings “We may be the victim of business disruptions and security breaches, including cyber-attacks, which could lead to liability or could damage our reputation and financial results” and “We may be subject to information technology failures that could damage our reputation, business operations and financial condition” included as part of our risk factors disclosures in “Risk Factors” above.</w:t>
      </w:r>
    </w:p>
    <w:p>
      <w:pPr>
        <w:spacing w:after="0" w:line="165" w:lineRule="exact"/>
        <w:rPr>
          <w:sz w:val="20"/>
          <w:szCs w:val="20"/>
          <w:color w:val="auto"/>
        </w:rPr>
      </w:pPr>
    </w:p>
    <w:p>
      <w:pPr>
        <w:ind w:right="480" w:firstLine="320"/>
        <w:spacing w:after="0" w:line="277" w:lineRule="auto"/>
        <w:rPr>
          <w:sz w:val="20"/>
          <w:szCs w:val="20"/>
          <w:color w:val="auto"/>
        </w:rPr>
      </w:pPr>
      <w:r>
        <w:rPr>
          <w:rFonts w:ascii="Times New Roman" w:cs="Times New Roman" w:eastAsia="Times New Roman" w:hAnsi="Times New Roman"/>
          <w:sz w:val="18"/>
          <w:szCs w:val="18"/>
          <w:color w:val="auto"/>
        </w:rPr>
        <w:t>To date, we have not identified material cybersecurity incidents, and the expenses we have incurred from cybersecurity incidents were immaterial, including penalties and settlements, of which there were 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ind w:right="160" w:firstLine="320"/>
        <w:spacing w:after="0" w:line="251" w:lineRule="auto"/>
        <w:rPr>
          <w:sz w:val="20"/>
          <w:szCs w:val="20"/>
          <w:color w:val="auto"/>
        </w:rPr>
      </w:pPr>
      <w:r>
        <w:rPr>
          <w:rFonts w:ascii="Times New Roman" w:cs="Times New Roman" w:eastAsia="Times New Roman" w:hAnsi="Times New Roman"/>
          <w:sz w:val="18"/>
          <w:szCs w:val="18"/>
          <w:color w:val="auto"/>
        </w:rPr>
        <w:t>Our Board of Directors is responsible for risk management oversight and has delegated to our Audit Committee oversight responsibility for reviewing the effectiveness of our governance and management of cybersecurity risks. The Audit Committee regularly reviews our policies and practices with respect to risk management, including cybersecurity risks, our ISO/IEC 27001:2022-certified ISMS and our SSMF program, and reports to the full Board of Directors based on these reviews. The Audit Committee also receives a report containing information security risk posture details, remediation plan execution progress and pertinent threat intelligence updates from the Chief Security Officer (“CSO”) on a quarterly basis. At least annually, but more frequently as necessary, threats from cybersecurity risks and our action plans relating to those risks also are considered by the full Board during meeting discussions of enterprise risks. Members of management, including the Chief Executive Officer, Chief Financial Officer and Chief Legal Officer may also report directly to the Board of Directors on significant risk management issues, including cybersecurity threats and incidents.</w:t>
      </w:r>
    </w:p>
    <w:p>
      <w:pPr>
        <w:spacing w:after="0" w:line="19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have an Executive Security Steering Council (the “ESC”) comprised of members of our executive team, our Chief Information Officer, and CSO. Our CSO, in coordination with the ESC, works collaboratively to implement our enterprise-wide cybersecurity strategy, policy, standards, architecture, and processes, including oversight of our ISMS and SSMF programs. Our Security Operations, Security Engineering, and Governance teams communicate with and report to the CSO, enabling the CSO and the ESC to monitor the detection, mitigation, and remediation of cybersecurity incidents. Our CSO has over 27 years of security experience in multiple relevant technology and leadership disciplines, including prior work experience leading cybersecurity teams, business strategies and security solution architecture. He also holds several relevant degrees and certifications, including as a Certified Information Systems Security Professional (“CISSP”) and a Certified Secure Software Lifecycle Professional (“CSSLP”), and holds Honors BSc degrees in Computer Science and Physics.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4"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corporate headquarters, housing engineering, sales and marketing, administration and test operations, is located in Austin, Texas. Our headquarters facilities consist of two buildings, which we own, that are located on land which we have leased through 2099. The buildings contain approximately 441,000 square feet of floor space, of which approximately 47,000 square feet were leased to other tenants. In addition to these properties, we lease smaller facilities in various locations in the United States, Canada, China, Denmark, Finland, France, Germany, Hungary, India, Italy, Japan, Norway, Singapore, South Korea, Taiwan and the United Kingdom for engineering, sales and marketing, administrative and manufacturing support activities. We believe that these facilities are suitable and adequate to meet our current operating needs.</w:t>
      </w:r>
    </w:p>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ind w:right="500" w:firstLine="320"/>
        <w:spacing w:after="0" w:line="279" w:lineRule="auto"/>
        <w:rPr>
          <w:sz w:val="20"/>
          <w:szCs w:val="20"/>
          <w:color w:val="auto"/>
        </w:rPr>
      </w:pPr>
      <w:r>
        <w:rPr>
          <w:rFonts w:ascii="Times New Roman" w:cs="Times New Roman" w:eastAsia="Times New Roman" w:hAnsi="Times New Roman"/>
          <w:sz w:val="18"/>
          <w:szCs w:val="18"/>
          <w:color w:val="auto"/>
        </w:rPr>
        <w:t xml:space="preserve">Information regarding legal proceedings is provided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Such information is incorporated by reference herein.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97"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“SLAB”. As of January 30, 2026, there were 44 holders of record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97"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currently do not intend to pay cash dividends. We currently expect to retain any future earnings to fund the operation and expansion of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97"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8"/>
          <w:szCs w:val="18"/>
          <w:color w:val="auto"/>
        </w:rPr>
        <w:t>The graph depicted below shows a comparison of cumulative total stockholder returns for an investment in Silicon Laboratories Inc. common stock, the NASDAQ Composite Index and the PHLX Semiconductor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114935</wp:posOffset>
            </wp:positionV>
            <wp:extent cx="5015865" cy="3736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5865" cy="373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 Index</w:t>
            </w: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01/02/21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01/01/22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12/30/23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12/28/24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01/03/26</w:t>
            </w:r>
          </w:p>
        </w:tc>
      </w:tr>
      <w:tr>
        <w:trPr>
          <w:trHeight w:val="25"/>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Silicon Laboratories Inc.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r>
      <w:tr>
        <w:trPr>
          <w:trHeight w:val="24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8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r>
      <w:tr>
        <w:trPr>
          <w:trHeight w:val="26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PHLX Semiconductor Index</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5" w:lineRule="exact"/>
        <w:rPr>
          <w:sz w:val="20"/>
          <w:szCs w:val="20"/>
          <w:color w:val="auto"/>
        </w:rPr>
      </w:pPr>
    </w:p>
    <w:p>
      <w:pPr>
        <w:ind w:left="320" w:right="260" w:hanging="313"/>
        <w:spacing w:after="0" w:line="255"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graph assumes that $100 was invested in our common stock and in each index at the market close on January 2, 2021, and that all dividends were reinvested. No cash dividends have been declared on our common stock.</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repurchases of our common stock during the three months ended January 3, 2026.</w:t>
      </w:r>
    </w:p>
    <w:p>
      <w:pPr>
        <w:spacing w:after="0" w:line="2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7"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the Consolidated Financial Statements and related notes thereto included elsewhere in this report. This discussion contains forward-looking statements. Please see the “Cautionary Statement” and “Risk Factors” above for discussions of the uncertainties, risks and assumptions associated with these statements. Our fiscal year-end financial reporting periods are a 52- or 53-week fiscal year that ends on the Saturday closest to December 31. Fiscal 2025 had 53 weeks with the extra week occurring in the first quarter of the year. Fiscal 2024 and 2023 had 52 weeks. Fiscal 2025, 2024, and 2023 ended on January 3, 2026, December 28, 2024, and December 30,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4"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As announced on February 4, 2026, we entered into an Agreement and Plan of Merger (the “Merger Agreement”) with Texas Instruments Incorporated (“Parent”) and Caldwell Merger Corp., a wholly-owned direct subsidiary of Parent (“Merger Subsidiary”), pursuant to which Merger Subsidiary will merge with and into Silicon Laboratories Inc. (the “Merger”), and we will survive the Merger as a wholly-owned direct subsidiary of Parent. At the effective time of the Merger, each share of our common stock outstanding as of immediately prior to the effective time (other than dissenting shares or any shares of our common stock held by us as treasury stock or owned by Parent or any of our or Parent’s subsidiaries) will be cancelled and converted into the right to receive $231.00 in cash, without interest. The transactions contemplated by the Merger Agreement were unanimously approved by our board of directors, and the Merger is expected to close in the first half of 2027, subject to customary closing conditions, including approval by our stockholders and the receipt of required regulatory approvals.</w:t>
      </w:r>
    </w:p>
    <w:p>
      <w:pPr>
        <w:spacing w:after="0" w:line="190" w:lineRule="exact"/>
        <w:rPr>
          <w:sz w:val="20"/>
          <w:szCs w:val="20"/>
          <w:color w:val="auto"/>
        </w:rPr>
      </w:pPr>
    </w:p>
    <w:p>
      <w:pPr>
        <w:ind w:right="300" w:firstLine="320"/>
        <w:spacing w:after="0" w:line="277" w:lineRule="auto"/>
        <w:rPr>
          <w:sz w:val="20"/>
          <w:szCs w:val="20"/>
          <w:color w:val="auto"/>
        </w:rPr>
      </w:pPr>
      <w:r>
        <w:rPr>
          <w:rFonts w:ascii="Times New Roman" w:cs="Times New Roman" w:eastAsia="Times New Roman" w:hAnsi="Times New Roman"/>
          <w:sz w:val="18"/>
          <w:szCs w:val="18"/>
          <w:color w:val="auto"/>
        </w:rPr>
        <w:t>In connection with the proposed Merger, we have incurred significant costs in the first quarter of fiscal 2026 and expect to continue to incur financial advisory, legal, accounting, and other professional fees prior to the completion of the Merger, which could be significant.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4"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In recent years, the global economic environment has experienced inflationary pressure, high interest rates, and geopolitical tension, and we have experienced declines in revenues as our customers slowed purchases to reduce existing inventories in a softening market. There continues to be uncertainty regarding international trade relations and trade policy, including those related to tariffs. The situation concerning the imposition of additional tariffs and trade restrictions by the U.S. and other jurisdictions continues to evolve, and we cannot be certain of the outcome, which could adversely impact demand for our products, costs, customers, suppliers, and general economic conditions. Additionally, continued geopolitical instability, including the ongoing war in Ukraine and conflicts in the Middle East, as well as the risk of inflation, slower GDP growth, or recession, and the weakening U.S. dollar, have added to the uncertainty. The extent of the impact of the macroeconomic and geopolitical environment on our operational and financial performance will depend on future developments, which are uncertain, but could materially affect our business, results of operations, access to sources of liquidity, and financial condition. Although we saw sequential improvements in revenues over the course of fiscal 2025, the extent of the continued impact, or any new impact, of macroeconomic conditions on our operational and financial performance will depend on future developments, their impact to the business of our suppliers and/or customers, and other items identified under “Risk Factors” above, all of which are uncertain and cannot be predicted.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ind w:right="60" w:firstLine="320"/>
        <w:spacing w:after="0" w:line="252" w:lineRule="auto"/>
        <w:rPr>
          <w:sz w:val="20"/>
          <w:szCs w:val="20"/>
          <w:color w:val="auto"/>
        </w:rPr>
      </w:pPr>
      <w:r>
        <w:rPr>
          <w:rFonts w:ascii="Times New Roman" w:cs="Times New Roman" w:eastAsia="Times New Roman" w:hAnsi="Times New Roman"/>
          <w:sz w:val="18"/>
          <w:szCs w:val="18"/>
          <w:color w:val="auto"/>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spacing w:after="0" w:line="146" w:lineRule="exact"/>
        <w:rPr>
          <w:sz w:val="20"/>
          <w:szCs w:val="20"/>
          <w:color w:val="auto"/>
        </w:rPr>
      </w:pPr>
    </w:p>
    <w:p>
      <w:pPr>
        <w:jc w:val="both"/>
        <w:ind w:right="260" w:firstLine="320"/>
        <w:spacing w:after="0" w:line="262"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integrated chip (“IC”) designs. Each wafer contains numerous die, which are cut from the wafer to create a chip for an IC. We rely on third parties in Asia to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36" w:lineRule="exact"/>
        <w:rPr>
          <w:sz w:val="20"/>
          <w:szCs w:val="20"/>
          <w:color w:val="auto"/>
        </w:rPr>
      </w:pPr>
    </w:p>
    <w:p>
      <w:pPr>
        <w:ind w:right="80" w:firstLine="320"/>
        <w:spacing w:after="0" w:line="252"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7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197"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Revenues increased $200.4 million in fiscal 2025 compared to fiscal 2024 due to increased revenues from both our Industrial &amp; Commercial products and Home &amp; Life products. Gross margin increased to 58.2% in fiscal 2025 compared to 53.4% in fiscal 2024 primarily as our indirect and overhead expenses decreased as a percentage of revenues. Operating expenses increased $49.8 million in fiscal 2025 compared to fiscal 2024 due primarily to higher personnel-related costs. Operating loss in fiscal 2025 was $70.5 million compared to operating loss of $165.5 million in fiscal 2024. Refer to “Results of Operations” below for further discussion.</w:t>
      </w:r>
    </w:p>
    <w:p>
      <w:pPr>
        <w:spacing w:after="0" w:line="186"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We ended fiscal 2025 with $443.6 million in cash, cash equivalents, and short-term investments. Net cash provided by operating activities was $95.7 million during fiscal 2025. Accounts receivable were $64.5 million at January 3, 2026, representing 28 days sales outstanding (“DSO”). Inventory was $95.6 million at January 3, 2026, representing 113 days of inventory (“DOI”).</w:t>
      </w:r>
    </w:p>
    <w:p>
      <w:pPr>
        <w:spacing w:after="0" w:line="176"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During fiscal 2025, 2024, and 2023, we had no end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the end customer as our customer. Two of our distributors who sell to our customers, Arrow Electronics and Edom Technology, represented 28% and 21% of our revenues during fiscal 2025, 27% and 16% during fiscal 2024, and 34% and 15% during fiscal 2023, respectively.</w:t>
      </w:r>
    </w:p>
    <w:p>
      <w:pPr>
        <w:spacing w:after="0" w:line="185" w:lineRule="exact"/>
        <w:rPr>
          <w:sz w:val="20"/>
          <w:szCs w:val="20"/>
          <w:color w:val="auto"/>
        </w:rPr>
      </w:pPr>
    </w:p>
    <w:p>
      <w:pPr>
        <w:jc w:val="both"/>
        <w:ind w:right="40" w:firstLine="320"/>
        <w:spacing w:after="0" w:line="262"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91% in fiscal 2025, 90% in fiscal 2024 and 88% in fiscal 2023. All of our revenues to date have been denominated in U.S. dollars. We believe that a majority of our revenues will continue to be derived from customers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Consolidated Statements of Operations:</w:t>
      </w:r>
    </w:p>
    <w:p>
      <w:pPr>
        <w:spacing w:after="0" w:line="21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Our revenues are subject to variation from period to period due to the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shipments made within a period, the mix of products we sell and the prices we charge for our products.</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software royalties, other intellectual property license costs and amortization of certain acquired intangible assets; and an allocated portion of our occupancy costs. Our gross margin fluctuates depending on product mix, manufacturing yields, inventory valuation adjustments, average selling prices and other factors.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amortization of intangible assets, professional fees, legal fees, and promotional and marketing expenses.</w:t>
      </w:r>
    </w:p>
    <w:p>
      <w:pPr>
        <w:spacing w:after="0" w:line="17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15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Interest expense consists of interest on our short and long-term obligations, including our convertible senior notes that were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and our credit facility. Interest expense on our convertible senior notes included contractual interest and amortization of debt issuance costs.</w:t>
      </w:r>
    </w:p>
    <w:p>
      <w:pPr>
        <w:spacing w:after="0" w:line="132"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global intangible low-taxed income, Subpart F income inclusions, and other permanent differences.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as a percentage of revenues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7"/>
        </w:trPr>
        <w:tc>
          <w:tcPr>
            <w:tcW w:w="4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shd w:val="clear" w:color="auto" w:fill="CCEEFF"/>
          </w:tcPr>
          <w:p>
            <w:pPr>
              <w:spacing w:after="0"/>
              <w:rPr>
                <w:sz w:val="22"/>
                <w:szCs w:val="22"/>
                <w:color w:val="auto"/>
              </w:rPr>
            </w:pPr>
          </w:p>
        </w:tc>
        <w:tc>
          <w:tcPr>
            <w:tcW w:w="4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Borders>
              <w:bottom w:val="single" w:sz="8" w:color="CCEEFF"/>
            </w:tcBorders>
          </w:tcPr>
          <w:p>
            <w:pPr>
              <w:spacing w:after="0"/>
              <w:rPr>
                <w:sz w:val="21"/>
                <w:szCs w:val="21"/>
                <w:color w:val="auto"/>
              </w:rPr>
            </w:pPr>
          </w:p>
        </w:tc>
        <w:tc>
          <w:tcPr>
            <w:tcW w:w="49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CCEEFF"/>
          </w:tcPr>
          <w:p>
            <w:pPr>
              <w:spacing w:after="0"/>
              <w:rPr>
                <w:sz w:val="22"/>
                <w:szCs w:val="22"/>
                <w:color w:val="auto"/>
              </w:rPr>
            </w:pPr>
          </w:p>
        </w:tc>
        <w:tc>
          <w:tcPr>
            <w:tcW w:w="4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Fiscal 2025 to Fiscal 2024</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49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firstLine="320"/>
        <w:spacing w:after="0" w:line="253" w:lineRule="auto"/>
        <w:rPr>
          <w:sz w:val="20"/>
          <w:szCs w:val="20"/>
          <w:color w:val="auto"/>
        </w:rPr>
      </w:pPr>
      <w:r>
        <w:rPr>
          <w:rFonts w:ascii="Times New Roman" w:cs="Times New Roman" w:eastAsia="Times New Roman" w:hAnsi="Times New Roman"/>
          <w:sz w:val="18"/>
          <w:szCs w:val="18"/>
          <w:color w:val="auto"/>
        </w:rPr>
        <w:t>The increase in revenues in fiscal 2025 was due to increased revenues of $106.4 million from our Industrial &amp; Commercial products and $94.0 million from our Home &amp; Life products. Revenues increased as a result of increases in unit volumes and average selling prices of our products, as the current demand environment has improved relative to the prior year, which was impacted by customers reducing inventory levels relative to amounts they held during the period of widespread supply chain disruptions. The average selling prices of our products may fluctuate significantly from period to period due to changes in product mix, customer mix, pricing decisions, and other factors. In general, as our products become more mature, we expect to experience decreases in average selling prices.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Gross profit increased in fiscal 2025 primarily as a result of an increase in revenues in the period. Gross margin increased as our indirect and overhead expenses decreased as a percentage of revenues in fiscal 2025 as a result of the increase in revenues.</w:t>
      </w:r>
    </w:p>
    <w:p>
      <w:pPr>
        <w:spacing w:after="0" w:line="163" w:lineRule="exact"/>
        <w:rPr>
          <w:sz w:val="20"/>
          <w:szCs w:val="20"/>
          <w:color w:val="auto"/>
        </w:rPr>
      </w:pPr>
    </w:p>
    <w:p>
      <w:pPr>
        <w:ind w:right="120" w:firstLine="320"/>
        <w:spacing w:after="0" w:line="273" w:lineRule="auto"/>
        <w:rPr>
          <w:sz w:val="20"/>
          <w:szCs w:val="20"/>
          <w:color w:val="auto"/>
        </w:rPr>
      </w:pPr>
      <w:r>
        <w:rPr>
          <w:rFonts w:ascii="Times New Roman" w:cs="Times New Roman" w:eastAsia="Times New Roman" w:hAnsi="Times New Roman"/>
          <w:sz w:val="17"/>
          <w:szCs w:val="17"/>
          <w:color w:val="auto"/>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 in fiscal 2025 increased $43.4 million for personnel-related costs as a result of lower expenses in the prior fiscal year due to cost containment measures, offset primarily by $8.5 million of government incentives and decreases of $9.6 million for amortization of intangible assets and $6.2 million for new product introduction and software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4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300" w:firstLine="320"/>
        <w:spacing w:after="0" w:line="277"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in fiscal 2025 was primarily due to $26.4 million for personnel-related costs as a result of lower expenses in the prior fiscal year due to cost containment measures and a $1.8 million increase in IT-related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Interest income and other, net in fiscal 2025 was $13.6 million compared to $12.0 million in fiscal 2024. The increase in interest income and other, net in fiscal 2025 was primarily due to a higher cash and cash equivalents balance in the current fiscal year as compared to the prior fiscal year.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4"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Interest expense in fiscal 2025 was $1.0 million compared to $1.3 million in fiscal 2024. The decrease was primarily due to a balance on the revolving credit facility for a portion of the prior fiscal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3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1"/>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The decrease in the provision for income taxes for fiscal 2025 as compared to fiscal 2024 was primarily due to a decrease in tax expense related to the U.S. and Singapore valuation allowance. Because of the valuation allowance, we are unable to recognize the full tax benefit of the pre-tax losses incurred in those jurisdictions in the current year. A valuation allowance is required to be established when it is more likely than not that some portion or all of a deferred tax asset will not be realized. We identified a need for the valuation allowance due to the presence of significant negative evidence, including recent operating losses and uncertainty around future economic conditions within both the semiconductor industry and the broader economy. We intend to maintain the valuation allowance until our ability to forecast sufficient future sources of taxable income is reestablished.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sources of liquidity as of January 3, 2026 consisted of $443.6 million in cash, cash equivalents and short-term investments, of which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$218.6 million was held by our U.S. entities. The remaining balance was held by our foreign subsidiaries. Our cash equivalents and short-term investments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government debt securities, which include U.S. government securities; time deposits; and money market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right="40" w:firstLine="320"/>
        <w:spacing w:after="0" w:line="284" w:lineRule="auto"/>
        <w:rPr>
          <w:sz w:val="20"/>
          <w:szCs w:val="20"/>
          <w:color w:val="auto"/>
        </w:rPr>
      </w:pPr>
      <w:r>
        <w:rPr>
          <w:rFonts w:ascii="Times New Roman" w:cs="Times New Roman" w:eastAsia="Times New Roman" w:hAnsi="Times New Roman"/>
          <w:sz w:val="17"/>
          <w:szCs w:val="17"/>
          <w:color w:val="auto"/>
        </w:rPr>
        <w:t>Net cash provided by operating activities was $95.7 million during fiscal 2025, compared to net cash used in operating activities of $13.9 million during fiscal 2024. Operating cash flows during fiscal 2025 reflect our net loss of $64.9 million, adjustments of $119.3 million for depreciation, amortization, stock-based compensation, and deferred income taxes, and a net cash inflow of $41.3 million due to changes in our operating assets and liabilities.</w:t>
      </w:r>
    </w:p>
    <w:p>
      <w:pPr>
        <w:spacing w:after="0" w:line="160" w:lineRule="exact"/>
        <w:rPr>
          <w:sz w:val="20"/>
          <w:szCs w:val="20"/>
          <w:color w:val="auto"/>
        </w:rPr>
      </w:pPr>
    </w:p>
    <w:p>
      <w:pPr>
        <w:ind w:right="260" w:firstLine="320"/>
        <w:spacing w:after="0" w:line="262" w:lineRule="auto"/>
        <w:rPr>
          <w:sz w:val="20"/>
          <w:szCs w:val="20"/>
          <w:color w:val="auto"/>
        </w:rPr>
      </w:pPr>
      <w:r>
        <w:rPr>
          <w:rFonts w:ascii="Times New Roman" w:cs="Times New Roman" w:eastAsia="Times New Roman" w:hAnsi="Times New Roman"/>
          <w:sz w:val="18"/>
          <w:szCs w:val="18"/>
          <w:color w:val="auto"/>
        </w:rPr>
        <w:t>Accounts receivable increased to $64.5 million at January 3, 2026 from $54.5 million at December 28, 2024. The increase in accounts receivable resulted primarily from an increase in shipments during the last quarter of fiscal 2025 compared to the last quarter of fiscal 2024. Our DSO was 28 days at January 3, 2026 and 29 days at December 28, 2024.</w:t>
      </w:r>
    </w:p>
    <w:p>
      <w:pPr>
        <w:spacing w:after="0" w:line="176" w:lineRule="exact"/>
        <w:rPr>
          <w:sz w:val="20"/>
          <w:szCs w:val="20"/>
          <w:color w:val="auto"/>
        </w:rPr>
      </w:pPr>
    </w:p>
    <w:p>
      <w:pPr>
        <w:ind w:right="220" w:firstLine="320"/>
        <w:spacing w:after="0" w:line="262" w:lineRule="auto"/>
        <w:rPr>
          <w:sz w:val="20"/>
          <w:szCs w:val="20"/>
          <w:color w:val="auto"/>
        </w:rPr>
      </w:pPr>
      <w:r>
        <w:rPr>
          <w:rFonts w:ascii="Times New Roman" w:cs="Times New Roman" w:eastAsia="Times New Roman" w:hAnsi="Times New Roman"/>
          <w:sz w:val="18"/>
          <w:szCs w:val="18"/>
          <w:color w:val="auto"/>
        </w:rPr>
        <w:t>Inventory decreased to $95.6 million at January 3, 2026 from $105.6 million at December 28, 2024. Our inventory levels will vary based on the availability of supply and the impact of variations between forecasted demand used for purchasing inventory and actual demand. Our DOI was 113 days at January 3, 2026 and 125 days at December 28,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$12.0 million during fiscal 2025, compared to $113.1 million net cash provided during fiscal 2024. The decrease in cash outflows was principally due to a decrease in cash provided by net purchases, sales, and maturities of marketable securities of $91.2 million in fiscal 2025. Purchases of property and equipment increased $18.2 million during fiscal 2025 compared to fiscal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Net cash used in financing activities was $1.1 million during fiscal 2025, compared to $45.1 million during fiscal 2024. The decrease in cash outflows was principally due to a $45.0 million repayment of borrowings under the revolving credit facility in the prior fiscal year.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As of January 3, 2026,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The credit facility contains various conditions, covenants, and representations with which we must be in compliance in order to borrow funds, including financial covenants that we must maintain a consolidated net leverage ratio (funded indebtedness less cash and cash equivalents up to $750 million and divided by EBITDA, as defined within the covenants) of no more than 4.25 to 1, and a minimum interest coverage ratio (EBITDA/interest payments) of no less than 2.50 to 1. As of January 3, 2026, we were in compliance with all of the covenants and no amounts were outstanding on the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2"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We may enter into acquisitions or strategic arrangements in the future which also could require us to seek additional equity or debt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2"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 xml:space="preserve">Our purchase obligations primarily include contractual arrangements in the form of purchase orders with suppliers. As of January 3, 2026, such purchase obligations were $75.8 million. For a description of other contractual obligations,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2024 to Fiscal 2023</w:t>
      </w:r>
    </w:p>
    <w:p>
      <w:pPr>
        <w:spacing w:after="0" w:line="224" w:lineRule="exact"/>
        <w:rPr>
          <w:sz w:val="20"/>
          <w:szCs w:val="20"/>
          <w:color w:val="auto"/>
        </w:rPr>
      </w:pPr>
    </w:p>
    <w:p>
      <w:pPr>
        <w:jc w:val="both"/>
        <w:ind w:right="160" w:firstLine="320"/>
        <w:spacing w:after="0" w:line="262" w:lineRule="auto"/>
        <w:rPr>
          <w:sz w:val="20"/>
          <w:szCs w:val="20"/>
          <w:color w:val="auto"/>
        </w:rPr>
      </w:pPr>
      <w:r>
        <w:rPr>
          <w:rFonts w:ascii="Times New Roman" w:cs="Times New Roman" w:eastAsia="Times New Roman" w:hAnsi="Times New Roman"/>
          <w:sz w:val="18"/>
          <w:szCs w:val="18"/>
          <w:color w:val="auto"/>
        </w:rPr>
        <w:t>A discussion of changes in our results of operations and liquidity and capital resources from fiscal 2023 to fiscal 2024 has been omitted from this Form 10-K, but may be found in “Item 7. Management’s Discussion and Analysis of Financial Condition and Results of Operations” of our Form 10-K filed with the Securities and Exchange Commission on February 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4" w:lineRule="exact"/>
        <w:rPr>
          <w:sz w:val="20"/>
          <w:szCs w:val="20"/>
          <w:color w:val="auto"/>
        </w:rPr>
      </w:pPr>
    </w:p>
    <w:p>
      <w:pPr>
        <w:ind w:right="40" w:firstLine="320"/>
        <w:spacing w:after="0" w:line="284" w:lineRule="auto"/>
        <w:rPr>
          <w:sz w:val="20"/>
          <w:szCs w:val="20"/>
          <w:color w:val="auto"/>
        </w:rPr>
      </w:pPr>
      <w:r>
        <w:rPr>
          <w:rFonts w:ascii="Times New Roman" w:cs="Times New Roman" w:eastAsia="Times New Roman" w:hAnsi="Times New Roman"/>
          <w:sz w:val="17"/>
          <w:szCs w:val="17"/>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w:t>
      </w:r>
    </w:p>
    <w:p>
      <w:pPr>
        <w:spacing w:after="0" w:line="15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Inventory valuation </w:t>
      </w:r>
      <w:r>
        <w:rPr>
          <w:rFonts w:ascii="Times New Roman" w:cs="Times New Roman" w:eastAsia="Times New Roman" w:hAnsi="Times New Roman"/>
          <w:sz w:val="18"/>
          <w:szCs w:val="18"/>
          <w:color w:val="auto"/>
        </w:rPr>
        <w:t>– We assess the recoverability of inventories through the application of a set of methods, assumptions and estimates. In determining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we write down inventory that may be slow moving or have some form of obsolescence, including inventory that has aged more than 24 months. We also adjust the valuation of inventory when its manufacturing cost exceeds the estimated selling price less costs of completion, disposal and transportation. We assess the potential for any unusual customer returns based on known quality or business issues and write-off inventory losses for scrap or non-saleable material. Inventory not otherwise identified to be written down is compared to an assessment of our 18-month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when control of the promised goods or services is transferred to customers,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we expect to be entitled to in exchange for those goods or services. In order to achieve this core principle, we apply a five-step process. As part of this process, we analyze the performance obligations in a customer contract and estimate the variable consideration we expect to receive. The evaluation of performance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obligations requires that we identify the promised goods and services in the contract. For contracts that contain more than one promised good and service, we then must determine whether the promises are capable of being distinct and if they are separately identifiable from other promises in the contract. Variable consideration primarily includes sales made to distributors under agreements allowing certain rights of return, referred to as stock rotation, and credits issued to the distributor due to price protection. We estimate variable consideration at the most likely amount to which we expect to be entitled. We make these estimates based on available information, including recent sales activity and pricing data. We apply a constraint to our variable consideration estimate which considers both the likelihood of a return and the amount of a potential price concession. If our evaluation of performance obligations is incorrect, we may recognize revenue sooner or later than is appropriate. If our estimates of variable consideration are inaccurate, we may recognize too much or too little revenue in a period. We may adjust assumptions used to estimate consideration periodically based on analysis of prior estimates.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are required to calculate income taxes in each of the jurisdictions in which we operate. This process involves calculating the actual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liability together with assessing temporary differences in recognition of income (loss) for tax and accounting purposes. These differences result in deferred tax assets and liabilities, which are included in our Consolidated Balance Sheets. Evaluating the need for a valuation allowance for deferred tax assets requires analysis of all positive and negative evidence available, including recent earnings history and taxable income in recent years, reversals of deferred tax liabilities, projected future taxable income, and tax planning strategies to determine whether all or some portion of the deferred tax assets will not be realized. We record a valuation allowance when it is more likely than not that some portion or all of the deferred tax assets will not be realized. Judgment is inherent in this process, and differences between the estimated and actual taxable income could result in a material impact on our Consolidated Financial Statements.</w:t>
      </w:r>
    </w:p>
    <w:p>
      <w:pPr>
        <w:spacing w:after="0" w:line="185"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19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effect on our income tax provision and net income in the period or periods for which that determination is made.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2" w:lineRule="exact"/>
        <w:rPr>
          <w:sz w:val="20"/>
          <w:szCs w:val="20"/>
          <w:color w:val="auto"/>
        </w:rPr>
      </w:pPr>
    </w:p>
    <w:p>
      <w:pPr>
        <w:ind w:right="760" w:firstLine="320"/>
        <w:spacing w:after="0" w:line="279" w:lineRule="auto"/>
        <w:rPr>
          <w:sz w:val="20"/>
          <w:szCs w:val="20"/>
          <w:color w:val="auto"/>
        </w:rPr>
      </w:pPr>
      <w:r>
        <w:rPr>
          <w:rFonts w:ascii="Times New Roman" w:cs="Times New Roman" w:eastAsia="Times New Roman" w:hAnsi="Times New Roman"/>
          <w:sz w:val="18"/>
          <w:szCs w:val="18"/>
          <w:color w:val="auto"/>
        </w:rPr>
        <w:t xml:space="preserve">Information regarding recent accounting pronouncements is provided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to the Consolidated Financial Statements. Such information is incorporated by reference herein.</w:t>
      </w:r>
    </w:p>
    <w:p>
      <w:pPr>
        <w:spacing w:after="0" w:line="1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2" w:lineRule="exact"/>
        <w:rPr>
          <w:sz w:val="20"/>
          <w:szCs w:val="20"/>
          <w:color w:val="auto"/>
        </w:rPr>
      </w:pPr>
    </w:p>
    <w:p>
      <w:pPr>
        <w:ind w:right="80" w:firstLine="320"/>
        <w:spacing w:after="0" w:line="273" w:lineRule="auto"/>
        <w:rPr>
          <w:sz w:val="20"/>
          <w:szCs w:val="20"/>
          <w:color w:val="auto"/>
        </w:rPr>
      </w:pPr>
      <w:r>
        <w:rPr>
          <w:rFonts w:ascii="Times New Roman" w:cs="Times New Roman" w:eastAsia="Times New Roman" w:hAnsi="Times New Roman"/>
          <w:sz w:val="17"/>
          <w:szCs w:val="17"/>
          <w:color w:val="auto"/>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January 3, 2026 would decrease our future annual interest income by approximately $3.5 million. A 100 basis point decline in yield on our investment portfolio holdings as of December 28, 2024 would decrease our future annual interest income by approximately $3.0 million. We believe that our investment policy, which defines the duration, concentration, and minimum credit quality of the allowable investments, meets our investment objectives.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p>
      <w:pPr>
        <w:ind w:right="140" w:firstLine="320"/>
        <w:spacing w:after="0" w:line="262"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had no borrowings as of January 3, 2026. If we borrow from the credit facility in the future, we will again be exposed to interest rate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2"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Consolidated Statements of Operations. We occasionally use foreign currency forward contracts to manage exposure to foreign exchange risk. Gains and losses on foreign currency forward contracts designated as hedges are recognized in earnings in the same period during which the hedged transaction is recognized.</w:t>
      </w:r>
    </w:p>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4"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Part IV, Item 15 of this Form 10-K and are presented beginning on page F-1.</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January 3, 2026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There was no change in our internal controls during the fiscal quarter ended January 3, 2026 that materially affected, or is reasonably likely to materially affect, our internal controls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4" w:lineRule="exact"/>
        <w:rPr>
          <w:sz w:val="20"/>
          <w:szCs w:val="20"/>
          <w:color w:val="auto"/>
        </w:rPr>
      </w:pPr>
    </w:p>
    <w:p>
      <w:pPr>
        <w:ind w:right="260" w:firstLine="320"/>
        <w:spacing w:after="0" w:line="26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176"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January 3, 2026. In making this assessment, it used the criteria set forth by the Committee of Sponsoring Organizations of the Treadway Commission (COSO) in Internal Control—Integrated Framework (2013 framework). Based on our assessment we concluded that, as of January 3, 2026, our internal control over financial reporting is effective based on those criteria.</w:t>
      </w:r>
    </w:p>
    <w:p>
      <w:pPr>
        <w:spacing w:after="0" w:line="181" w:lineRule="exact"/>
        <w:rPr>
          <w:sz w:val="20"/>
          <w:szCs w:val="20"/>
          <w:color w:val="auto"/>
        </w:rPr>
      </w:pPr>
    </w:p>
    <w:p>
      <w:pPr>
        <w:ind w:right="160" w:firstLine="320"/>
        <w:spacing w:after="0" w:line="277"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issued an attestation report on our internal control over financial reporting; their report is included herein.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Silicon Laboratories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9"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Silicon Laboratories Inc. and subsidiaries (the “Company”) as of January 3,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 2026, based on criteria established in Internal Control — Integrated Framework (2013) issued by COSO.</w:t>
      </w:r>
    </w:p>
    <w:p>
      <w:pPr>
        <w:spacing w:after="0" w:line="181" w:lineRule="exact"/>
        <w:rPr>
          <w:sz w:val="20"/>
          <w:szCs w:val="20"/>
          <w:color w:val="auto"/>
        </w:rPr>
      </w:pPr>
    </w:p>
    <w:p>
      <w:pPr>
        <w:jc w:val="both"/>
        <w:ind w:right="80" w:firstLine="320"/>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 2026, of the Company and our report dated February 10, 2026 expressed an unqualified opinion on those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Basis for Opinion</w:t>
      </w:r>
    </w:p>
    <w:p>
      <w:pPr>
        <w:spacing w:after="0" w:line="159"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Definition and Limitations of Internal Control over Financial Reporting</w:t>
      </w:r>
    </w:p>
    <w:p>
      <w:pPr>
        <w:spacing w:after="0" w:line="159" w:lineRule="exact"/>
        <w:rPr>
          <w:sz w:val="20"/>
          <w:szCs w:val="20"/>
          <w:color w:val="auto"/>
        </w:rPr>
      </w:pPr>
    </w:p>
    <w:p>
      <w:pPr>
        <w:ind w:firstLine="320"/>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2" w:lineRule="exact"/>
        <w:rPr>
          <w:sz w:val="20"/>
          <w:szCs w:val="20"/>
          <w:color w:val="auto"/>
        </w:rPr>
      </w:pPr>
    </w:p>
    <w:p>
      <w:pPr>
        <w:ind w:right="80" w:firstLine="320"/>
        <w:spacing w:after="0" w:line="257"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purchase or sale of our securities intended to satisfy the affirmative defense conditions of Rule 10b5-1(c) entered into or terminated during the quarter ended January 3, 2026 by our directors and officers (as defined under Rule 16b-1(f) of the Exchange Act). There were no non-Rule 10b5-1 trading arrangements entered into or terminated by our directors and officers during the quarter ended January 3,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r>
      <w:tr>
        <w:trPr>
          <w:trHeight w:val="160"/>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Purchased or</w:t>
            </w:r>
          </w:p>
        </w:tc>
      </w:tr>
      <w:tr>
        <w:trPr>
          <w:trHeight w:val="160"/>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Adoption of</w:t>
            </w: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Sold Pursuant to the</w:t>
            </w:r>
          </w:p>
        </w:tc>
      </w:tr>
      <w:tr>
        <w:trPr>
          <w:trHeight w:val="20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 of Director or Officer</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Duration of the Arrangement</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25"/>
        </w:trPr>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0"/>
        </w:trPr>
        <w:tc>
          <w:tcPr>
            <w:tcW w:w="490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R. Matthew Johnson</w:t>
            </w:r>
          </w:p>
        </w:tc>
        <w:tc>
          <w:tcPr>
            <w:tcW w:w="2140" w:type="dxa"/>
            <w:vAlign w:val="bottom"/>
            <w:gridSpan w:val="2"/>
            <w:shd w:val="clear" w:color="auto" w:fill="CCEEFF"/>
          </w:tcPr>
          <w:p>
            <w:pPr>
              <w:jc w:val="center"/>
              <w:ind w:right="120"/>
              <w:spacing w:after="0" w:line="200" w:lineRule="exact"/>
              <w:rPr>
                <w:sz w:val="20"/>
                <w:szCs w:val="20"/>
                <w:color w:val="auto"/>
              </w:rPr>
            </w:pPr>
            <w:r>
              <w:rPr>
                <w:rFonts w:ascii="Times New Roman" w:cs="Times New Roman" w:eastAsia="Times New Roman" w:hAnsi="Times New Roman"/>
                <w:sz w:val="18"/>
                <w:szCs w:val="18"/>
                <w:color w:val="auto"/>
                <w:w w:val="98"/>
              </w:rPr>
              <w:t>November 06, 2025</w:t>
            </w:r>
          </w:p>
        </w:tc>
        <w:tc>
          <w:tcPr>
            <w:tcW w:w="2280" w:type="dxa"/>
            <w:vAlign w:val="bottom"/>
            <w:gridSpan w:val="2"/>
            <w:shd w:val="clear" w:color="auto" w:fill="CCEEFF"/>
          </w:tcPr>
          <w:p>
            <w:pPr>
              <w:jc w:val="center"/>
              <w:ind w:right="100"/>
              <w:spacing w:after="0" w:line="200" w:lineRule="exact"/>
              <w:rPr>
                <w:sz w:val="20"/>
                <w:szCs w:val="20"/>
                <w:color w:val="auto"/>
              </w:rPr>
            </w:pPr>
            <w:r>
              <w:rPr>
                <w:rFonts w:ascii="Times New Roman" w:cs="Times New Roman" w:eastAsia="Times New Roman" w:hAnsi="Times New Roman"/>
                <w:sz w:val="18"/>
                <w:szCs w:val="18"/>
                <w:color w:val="auto"/>
                <w:w w:val="99"/>
              </w:rPr>
              <w:t>Expires November 06, 2026</w:t>
            </w:r>
          </w:p>
        </w:tc>
        <w:tc>
          <w:tcPr>
            <w:tcW w:w="192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24,193</w:t>
            </w:r>
            <w:r>
              <w:rPr>
                <w:rFonts w:ascii="Times New Roman" w:cs="Times New Roman" w:eastAsia="Times New Roman" w:hAnsi="Times New Roman"/>
                <w:sz w:val="23"/>
                <w:szCs w:val="23"/>
                <w:color w:val="auto"/>
                <w:w w:val="97"/>
                <w:vertAlign w:val="superscript"/>
              </w:rPr>
              <w:t>1</w:t>
            </w:r>
          </w:p>
        </w:tc>
      </w:tr>
      <w:tr>
        <w:trPr>
          <w:trHeight w:val="24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CEO</w:t>
            </w:r>
          </w:p>
        </w:tc>
        <w:tc>
          <w:tcPr>
            <w:tcW w:w="2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bl>
    <w:p>
      <w:pPr>
        <w:spacing w:after="0" w:line="289" w:lineRule="exact"/>
        <w:rPr>
          <w:sz w:val="20"/>
          <w:szCs w:val="20"/>
          <w:color w:val="auto"/>
        </w:rPr>
      </w:pPr>
    </w:p>
    <w:p>
      <w:pPr>
        <w:jc w:val="both"/>
        <w:ind w:left="320" w:right="80" w:hanging="313"/>
        <w:spacing w:after="0" w:line="227" w:lineRule="auto"/>
        <w:tabs>
          <w:tab w:leader="none" w:pos="328" w:val="left"/>
        </w:tabs>
        <w:numPr>
          <w:ilvl w:val="0"/>
          <w:numId w:val="27"/>
        </w:numPr>
        <w:rPr>
          <w:rFonts w:ascii="Arial" w:cs="Arial" w:eastAsia="Arial" w:hAnsi="Arial"/>
          <w:sz w:val="25"/>
          <w:szCs w:val="25"/>
          <w:color w:val="auto"/>
          <w:vertAlign w:val="superscript"/>
        </w:rPr>
      </w:pPr>
      <w:r>
        <w:rPr>
          <w:rFonts w:ascii="Times New Roman" w:cs="Times New Roman" w:eastAsia="Times New Roman" w:hAnsi="Times New Roman"/>
          <w:sz w:val="18"/>
          <w:szCs w:val="18"/>
          <w:color w:val="auto"/>
        </w:rPr>
        <w:t>Represents the total number of shares that may be sold under the trading arrangement, which includes shares underlying restricted stock units (“RSUs”) and performance share units (“PSUs”). The actual number of shares sold may be less based on tax withholdings and performance and vesting conditions of the award</w:t>
      </w:r>
      <w:r>
        <w:rPr>
          <w:rFonts w:ascii="Times New Roman" w:cs="Times New Roman" w:eastAsia="Times New Roman" w:hAnsi="Times New Roman"/>
          <w:sz w:val="19"/>
          <w:szCs w:val="19"/>
          <w:color w:val="auto"/>
        </w:rPr>
        <w:t>s.</w:t>
      </w:r>
    </w:p>
    <w:p>
      <w:pPr>
        <w:spacing w:after="0" w:line="1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ind w:right="280" w:firstLine="320"/>
        <w:spacing w:after="0" w:line="26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34)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42)</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at January 3, 2026 and December 28, 2024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the fiscal years ended January 3, 2026, December 28, 2024 and December 30, 2023</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EE"/>
        </w:rPr>
        <w:t>Consolidated Statements of Comprehensive Loss for the fiscal years ended January 3, 2026, December 28, 2024 and December 30, 2023</w:t>
      </w:r>
    </w:p>
    <w:p>
      <w:pPr>
        <w:spacing w:after="0" w:line="272" w:lineRule="exact"/>
        <w:rPr>
          <w:sz w:val="20"/>
          <w:szCs w:val="20"/>
          <w:color w:val="auto"/>
        </w:rPr>
      </w:pPr>
    </w:p>
    <w:p>
      <w:pPr>
        <w:ind w:left="20" w:right="660"/>
        <w:spacing w:after="0" w:line="261"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Stockholders’ Equity for the fiscal years ended January 3, 2026, December 28, 2024 and December 30, 2023</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fiscal years ended January 3, 2026, December 28, 2024 and December 30, 2023</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340"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35560</wp:posOffset>
            </wp:positionV>
            <wp:extent cx="652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2145"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F-1</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F-3</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F-4</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F-5</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F-6</w:t>
      </w: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F-7</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F-8</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F-9</w:t>
      </w:r>
    </w:p>
    <w:p>
      <w:pPr>
        <w:spacing w:after="0" w:line="747" w:lineRule="exact"/>
        <w:rPr>
          <w:sz w:val="20"/>
          <w:szCs w:val="20"/>
          <w:color w:val="auto"/>
        </w:rPr>
      </w:pPr>
    </w:p>
    <w:p>
      <w:pPr>
        <w:sectPr>
          <w:pgSz w:w="11900" w:h="16838" w:orient="portrait"/>
          <w:cols w:equalWidth="0" w:num="2">
            <w:col w:w="9820" w:space="720"/>
            <w:col w:w="660"/>
          </w:cols>
          <w:pgMar w:left="320" w:top="121" w:right="379" w:bottom="1440" w:gutter="0" w:footer="0" w:header="0"/>
        </w:sectPr>
      </w:pPr>
    </w:p>
    <w:p>
      <w:pPr>
        <w:spacing w:after="0" w:line="20" w:lineRule="exact"/>
        <w:rPr>
          <w:sz w:val="20"/>
          <w:szCs w:val="20"/>
          <w:color w:val="auto"/>
        </w:rPr>
      </w:pPr>
    </w:p>
    <w:p>
      <w:pPr>
        <w:ind w:left="640" w:right="380" w:firstLine="320"/>
        <w:spacing w:after="0" w:line="307" w:lineRule="auto"/>
        <w:rPr>
          <w:sz w:val="20"/>
          <w:szCs w:val="20"/>
          <w:color w:val="auto"/>
        </w:rPr>
      </w:pPr>
      <w:r>
        <w:rPr>
          <w:rFonts w:ascii="Times New Roman" w:cs="Times New Roman" w:eastAsia="Times New Roman" w:hAnsi="Times New Roman"/>
          <w:sz w:val="17"/>
          <w:szCs w:val="17"/>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40" w:lineRule="exact"/>
        <w:rPr>
          <w:sz w:val="20"/>
          <w:szCs w:val="20"/>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p>
      <w:pPr>
        <w:ind w:left="640" w:right="100" w:firstLine="320"/>
        <w:spacing w:after="0" w:line="277" w:lineRule="auto"/>
        <w:rPr>
          <w:sz w:val="20"/>
          <w:szCs w:val="20"/>
          <w:color w:val="auto"/>
        </w:rPr>
      </w:pPr>
      <w:r>
        <w:rPr>
          <w:rFonts w:ascii="Times New Roman" w:cs="Times New Roman" w:eastAsia="Times New Roman" w:hAnsi="Times New Roman"/>
          <w:sz w:val="18"/>
          <w:szCs w:val="18"/>
          <w:color w:val="auto"/>
        </w:rPr>
        <w:t>The exhibits listed on the accompanying index to exhibits immediately following the Consolidated Financial Statements are filed as part of, or hereby incorporated by reference into, this Form 10-K.</w:t>
      </w:r>
    </w:p>
    <w:p>
      <w:pPr>
        <w:spacing w:after="0" w:line="163" w:lineRule="exact"/>
        <w:rPr>
          <w:sz w:val="20"/>
          <w:szCs w:val="20"/>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report:</w:t>
      </w: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6102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47" w:lineRule="exact"/>
        <w:rPr>
          <w:sz w:val="20"/>
          <w:szCs w:val="20"/>
          <w:color w:val="auto"/>
        </w:rPr>
      </w:pPr>
    </w:p>
    <w:p>
      <w:pPr>
        <w:ind w:left="3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0">
        <w:r>
          <w:rPr>
            <w:rFonts w:ascii="Times New Roman" w:cs="Times New Roman" w:eastAsia="Times New Roman" w:hAnsi="Times New Roman"/>
            <w:sz w:val="17"/>
            <w:szCs w:val="17"/>
            <w:u w:val="single" w:color="auto"/>
            <w:color w:val="0000FF"/>
          </w:rPr>
          <w:t>Fifth Amended and Restated Certificate of Incorporation of Silicon Laboratories Inc. (filed as Exhibit 3.1 to the Form 10-Q filed on August 8,</w:t>
        </w:r>
      </w:hyperlink>
    </w:p>
    <w:p>
      <w:pPr>
        <w:spacing w:after="0" w:line="26" w:lineRule="exact"/>
        <w:rPr>
          <w:sz w:val="20"/>
          <w:szCs w:val="20"/>
          <w:color w:val="auto"/>
        </w:rPr>
      </w:pPr>
    </w:p>
    <w:p>
      <w:pPr>
        <w:ind w:left="108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2025).</w:t>
        </w:r>
      </w:hyperlink>
    </w:p>
    <w:p>
      <w:pPr>
        <w:spacing w:after="0" w:line="40" w:lineRule="exact"/>
        <w:rPr>
          <w:sz w:val="20"/>
          <w:szCs w:val="20"/>
          <w:color w:val="auto"/>
        </w:rPr>
      </w:pPr>
    </w:p>
    <w:p>
      <w:pPr>
        <w:ind w:left="3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1">
        <w:r>
          <w:rPr>
            <w:rFonts w:ascii="Times New Roman" w:cs="Times New Roman" w:eastAsia="Times New Roman" w:hAnsi="Times New Roman"/>
            <w:sz w:val="17"/>
            <w:szCs w:val="17"/>
            <w:u w:val="single" w:color="auto"/>
            <w:color w:val="0000FF"/>
          </w:rPr>
          <w:t>Fifth Amended and Restated Bylaws of Silicon Laboratories Inc. (filed as Exhibit 3.1 to the Form 8-K filed on February 3, 2021).</w:t>
        </w:r>
      </w:hyperlink>
    </w:p>
    <w:p>
      <w:pPr>
        <w:spacing w:after="0" w:line="60" w:lineRule="exact"/>
        <w:rPr>
          <w:sz w:val="20"/>
          <w:szCs w:val="20"/>
          <w:color w:val="auto"/>
        </w:rPr>
      </w:pPr>
    </w:p>
    <w:p>
      <w:pPr>
        <w:ind w:left="1080" w:right="480" w:hanging="746"/>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62">
        <w:r>
          <w:rPr>
            <w:rFonts w:ascii="Times New Roman" w:cs="Times New Roman" w:eastAsia="Times New Roman" w:hAnsi="Times New Roman"/>
            <w:sz w:val="18"/>
            <w:szCs w:val="18"/>
            <w:u w:val="single" w:color="auto"/>
            <w:color w:val="0000FF"/>
          </w:rPr>
          <w:t>Description of Registrant’s Securities Registered under Section 12 of the Exchange Act (filed as Exhibit 4.7 to the Form 10 - K filed on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February 1, 2023).</w:t>
        </w:r>
      </w:hyperlink>
    </w:p>
    <w:p>
      <w:pPr>
        <w:spacing w:after="0" w:line="3" w:lineRule="exact"/>
        <w:rPr>
          <w:sz w:val="20"/>
          <w:szCs w:val="20"/>
          <w:color w:val="auto"/>
        </w:rPr>
      </w:pPr>
    </w:p>
    <w:p>
      <w:pPr>
        <w:ind w:left="108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63">
        <w:r>
          <w:rPr>
            <w:rFonts w:ascii="Times New Roman" w:cs="Times New Roman" w:eastAsia="Times New Roman" w:hAnsi="Times New Roman"/>
            <w:sz w:val="18"/>
            <w:szCs w:val="18"/>
            <w:u w:val="single" w:color="auto"/>
            <w:color w:val="0000FF"/>
          </w:rPr>
          <w:t>Form of Indemnification Agreement between Silicon Laboratories Inc. and each of its directors and executive officers (filed as Exhibit 10.1 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the IPO Registration Statement).</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102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39" w:lineRule="exact"/>
        <w:rPr>
          <w:sz w:val="20"/>
          <w:szCs w:val="20"/>
          <w:color w:val="auto"/>
        </w:rPr>
      </w:pPr>
    </w:p>
    <w:p>
      <w:pPr>
        <w:ind w:left="1080" w:right="220" w:hanging="791"/>
        <w:spacing w:after="0" w:line="294" w:lineRule="auto"/>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66">
        <w:r>
          <w:rPr>
            <w:rFonts w:ascii="Times New Roman" w:cs="Times New Roman" w:eastAsia="Times New Roman" w:hAnsi="Times New Roman"/>
            <w:sz w:val="17"/>
            <w:szCs w:val="17"/>
            <w:u w:val="single" w:color="auto"/>
            <w:color w:val="0000FF"/>
          </w:rPr>
          <w:t>Credit Agreement, dated July 31, 2012, by and among Silicon Laboratories Inc., the subsidiaries of the borrower identified therein, Bank of</w:t>
        </w:r>
      </w:hyperlink>
      <w:r>
        <w:rPr>
          <w:rFonts w:ascii="Times New Roman" w:cs="Times New Roman" w:eastAsia="Times New Roman" w:hAnsi="Times New Roman"/>
          <w:sz w:val="17"/>
          <w:szCs w:val="17"/>
          <w:u w:val="single" w:color="auto"/>
          <w:color w:val="0000FF"/>
        </w:rPr>
        <w:t xml:space="preserve"> </w:t>
      </w:r>
      <w:hyperlink r:id="rId66">
        <w:r>
          <w:rPr>
            <w:rFonts w:ascii="Times New Roman" w:cs="Times New Roman" w:eastAsia="Times New Roman" w:hAnsi="Times New Roman"/>
            <w:sz w:val="17"/>
            <w:szCs w:val="17"/>
            <w:u w:val="single" w:color="auto"/>
            <w:color w:val="0000FF"/>
          </w:rPr>
          <w:t>America, N.A., Wells Fargo Bank, National Association, and Regions Bank (filed as Exhibit 10.1 to the Form 8-K filed August 1, 2012).</w:t>
        </w:r>
      </w:hyperlink>
    </w:p>
    <w:p>
      <w:pPr>
        <w:spacing w:after="0" w:line="1" w:lineRule="exact"/>
        <w:rPr>
          <w:sz w:val="20"/>
          <w:szCs w:val="20"/>
          <w:color w:val="auto"/>
        </w:rPr>
      </w:pPr>
    </w:p>
    <w:p>
      <w:pPr>
        <w:ind w:left="1080" w:right="46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67">
        <w:r>
          <w:rPr>
            <w:rFonts w:ascii="Times New Roman" w:cs="Times New Roman" w:eastAsia="Times New Roman" w:hAnsi="Times New Roman"/>
            <w:sz w:val="18"/>
            <w:szCs w:val="18"/>
            <w:u w:val="single" w:color="auto"/>
            <w:color w:val="0000FF"/>
          </w:rPr>
          <w:t>First Amendment to Credit Agreement, dated July 24, 2015,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identified therein, Wells Fargo Bank, National Association, Citibank, N.A., Regions Bank, Bank of America, N.A. and the lenders party</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thereto (filed as Exhibit 10.1 to the Form 8-K filed on July 29, 2015).</w:t>
        </w:r>
      </w:hyperlink>
    </w:p>
    <w:p>
      <w:pPr>
        <w:spacing w:after="0" w:line="16" w:lineRule="exact"/>
        <w:rPr>
          <w:rFonts w:ascii="Times New Roman" w:cs="Times New Roman" w:eastAsia="Times New Roman" w:hAnsi="Times New Roman"/>
          <w:sz w:val="18"/>
          <w:szCs w:val="18"/>
          <w:u w:val="single" w:color="auto"/>
          <w:color w:val="0000FF"/>
        </w:rPr>
      </w:pPr>
    </w:p>
    <w:p>
      <w:pPr>
        <w:ind w:left="1080" w:right="12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68">
        <w:r>
          <w:rPr>
            <w:rFonts w:ascii="Times New Roman" w:cs="Times New Roman" w:eastAsia="Times New Roman" w:hAnsi="Times New Roman"/>
            <w:sz w:val="18"/>
            <w:szCs w:val="18"/>
            <w:u w:val="single" w:color="auto"/>
            <w:color w:val="0000FF"/>
          </w:rPr>
          <w:t>Second Amendment to Credit Agreement, dated February 27, 2017,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February 27, 2017).</w:t>
        </w:r>
      </w:hyperlink>
    </w:p>
    <w:p>
      <w:pPr>
        <w:spacing w:after="0" w:line="16" w:lineRule="exact"/>
        <w:rPr>
          <w:rFonts w:ascii="Times New Roman" w:cs="Times New Roman" w:eastAsia="Times New Roman" w:hAnsi="Times New Roman"/>
          <w:sz w:val="18"/>
          <w:szCs w:val="18"/>
          <w:u w:val="single" w:color="auto"/>
          <w:color w:val="0000FF"/>
        </w:rPr>
      </w:pPr>
    </w:p>
    <w:p>
      <w:pPr>
        <w:ind w:left="108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69">
        <w:r>
          <w:rPr>
            <w:rFonts w:ascii="Times New Roman" w:cs="Times New Roman" w:eastAsia="Times New Roman" w:hAnsi="Times New Roman"/>
            <w:sz w:val="18"/>
            <w:szCs w:val="18"/>
            <w:u w:val="single" w:color="auto"/>
            <w:color w:val="0000FF"/>
          </w:rPr>
          <w:t>Third Amendment to Credit Agreement, dated August 7, 2019,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August</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7, 2019).</w:t>
        </w:r>
      </w:hyperlink>
    </w:p>
    <w:p>
      <w:pPr>
        <w:spacing w:after="0" w:line="16" w:lineRule="exact"/>
        <w:rPr>
          <w:rFonts w:ascii="Times New Roman" w:cs="Times New Roman" w:eastAsia="Times New Roman" w:hAnsi="Times New Roman"/>
          <w:sz w:val="18"/>
          <w:szCs w:val="18"/>
          <w:u w:val="single" w:color="auto"/>
          <w:color w:val="0000FF"/>
        </w:rPr>
      </w:pPr>
    </w:p>
    <w:p>
      <w:pPr>
        <w:ind w:left="1080" w:right="20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70">
        <w:r>
          <w:rPr>
            <w:rFonts w:ascii="Times New Roman" w:cs="Times New Roman" w:eastAsia="Times New Roman" w:hAnsi="Times New Roman"/>
            <w:sz w:val="18"/>
            <w:szCs w:val="18"/>
            <w:u w:val="single" w:color="auto"/>
            <w:color w:val="0000FF"/>
          </w:rPr>
          <w:t>Fourth Amendment to Credit Agreement, dated May 26, 2020,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May</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27, 2020).</w:t>
        </w:r>
      </w:hyperlink>
    </w:p>
    <w:p>
      <w:pPr>
        <w:spacing w:after="0" w:line="16" w:lineRule="exact"/>
        <w:rPr>
          <w:rFonts w:ascii="Times New Roman" w:cs="Times New Roman" w:eastAsia="Times New Roman" w:hAnsi="Times New Roman"/>
          <w:sz w:val="18"/>
          <w:szCs w:val="18"/>
          <w:u w:val="single" w:color="auto"/>
          <w:color w:val="0000FF"/>
        </w:rPr>
      </w:pPr>
    </w:p>
    <w:p>
      <w:pPr>
        <w:ind w:left="1080" w:right="16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71">
        <w:r>
          <w:rPr>
            <w:rFonts w:ascii="Times New Roman" w:cs="Times New Roman" w:eastAsia="Times New Roman" w:hAnsi="Times New Roman"/>
            <w:sz w:val="18"/>
            <w:szCs w:val="18"/>
            <w:u w:val="single" w:color="auto"/>
            <w:color w:val="0000FF"/>
          </w:rPr>
          <w:t>Security and Pledge Agreement, dated July 31, 2012, by and among Silicon Laboratories Inc., with the other parties identified as “Obligors”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(as defined therein) and such other parties that may become Obligors thereunder after the date thereof, and Bank of America, N.A (filed as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Exhibit 10.2 to the Form 8-K filed August 1, 2012).</w:t>
        </w:r>
      </w:hyperlink>
    </w:p>
    <w:p>
      <w:pPr>
        <w:spacing w:after="0" w:line="16" w:lineRule="exact"/>
        <w:rPr>
          <w:rFonts w:ascii="Times New Roman" w:cs="Times New Roman" w:eastAsia="Times New Roman" w:hAnsi="Times New Roman"/>
          <w:sz w:val="18"/>
          <w:szCs w:val="18"/>
          <w:u w:val="single" w:color="auto"/>
          <w:color w:val="0000FF"/>
        </w:rPr>
      </w:pPr>
    </w:p>
    <w:p>
      <w:pPr>
        <w:ind w:left="1080" w:right="24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72">
        <w:r>
          <w:rPr>
            <w:rFonts w:ascii="Times New Roman" w:cs="Times New Roman" w:eastAsia="Times New Roman" w:hAnsi="Times New Roman"/>
            <w:sz w:val="18"/>
            <w:szCs w:val="18"/>
            <w:u w:val="single" w:color="auto"/>
            <w:color w:val="0000FF"/>
          </w:rPr>
          <w:t>Form of Restricted Stock Units Grant Notice and Global Restricted Stock Units Award Agreement under Registrant’s 2009 Stock Incentive</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Plan, as amended and restated (filed as Exhibit 10.7 to the Form 10-K filed on February 1, 2017).</w:t>
        </w:r>
      </w:hyperlink>
    </w:p>
    <w:p>
      <w:pPr>
        <w:spacing w:after="0" w:line="3" w:lineRule="exact"/>
        <w:rPr>
          <w:sz w:val="20"/>
          <w:szCs w:val="20"/>
          <w:color w:val="auto"/>
        </w:rPr>
      </w:pPr>
    </w:p>
    <w:p>
      <w:pPr>
        <w:ind w:left="1080" w:right="4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73">
        <w:r>
          <w:rPr>
            <w:rFonts w:ascii="Times New Roman" w:cs="Times New Roman" w:eastAsia="Times New Roman" w:hAnsi="Times New Roman"/>
            <w:sz w:val="18"/>
            <w:szCs w:val="18"/>
            <w:u w:val="single" w:color="auto"/>
            <w:color w:val="0000FF"/>
          </w:rPr>
          <w:t>Form of Market Stock Units Grant Notice and Global Market Stock Units Award Agreement under Registrant’s 2009 Stock Incentive Plan, as</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amended and restated (filed as Exhibit 10.8 to the Form 10-K filed on February 1, 2017).</w:t>
        </w:r>
      </w:hyperlink>
    </w:p>
    <w:p>
      <w:pPr>
        <w:spacing w:after="0" w:line="3" w:lineRule="exact"/>
        <w:rPr>
          <w:sz w:val="20"/>
          <w:szCs w:val="20"/>
          <w:color w:val="auto"/>
        </w:rPr>
      </w:pPr>
    </w:p>
    <w:p>
      <w:pPr>
        <w:ind w:left="1080" w:right="26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74">
        <w:r>
          <w:rPr>
            <w:rFonts w:ascii="Times New Roman" w:cs="Times New Roman" w:eastAsia="Times New Roman" w:hAnsi="Times New Roman"/>
            <w:sz w:val="18"/>
            <w:szCs w:val="18"/>
            <w:u w:val="single" w:color="auto"/>
            <w:color w:val="0000FF"/>
          </w:rPr>
          <w:t>Form of Stock Option Grant Notice and Global Stock Option Award Agreement under Registrant’s 2009 Stock Incentive Plan, as amended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and restated (filed as Exhibit 10.9 to the Form 10-K filed on February 1, 2017).</w:t>
        </w:r>
      </w:hyperlink>
    </w:p>
    <w:p>
      <w:pPr>
        <w:spacing w:after="0" w:line="3" w:lineRule="exact"/>
        <w:rPr>
          <w:sz w:val="20"/>
          <w:szCs w:val="20"/>
          <w:color w:val="auto"/>
        </w:rPr>
      </w:pPr>
    </w:p>
    <w:p>
      <w:pPr>
        <w:ind w:left="20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75">
        <w:r>
          <w:rPr>
            <w:rFonts w:ascii="Times New Roman" w:cs="Times New Roman" w:eastAsia="Times New Roman" w:hAnsi="Times New Roman"/>
            <w:sz w:val="17"/>
            <w:szCs w:val="17"/>
            <w:u w:val="single" w:color="auto"/>
            <w:color w:val="0000FF"/>
          </w:rPr>
          <w:t>Silicon Laboratories Inc. Form of Executive Severance Agreement (filed as Exhibit 10.2 to the Form 8-K filed on May 17, 2021).</w:t>
        </w:r>
      </w:hyperlink>
    </w:p>
    <w:p>
      <w:pPr>
        <w:spacing w:after="0" w:line="60"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76">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Incentive Plan, as amended and restated (filed as Exhibit 10.3 to the Form 8-K filed on May 17, 2021).</w:t>
        </w:r>
      </w:hyperlink>
    </w:p>
    <w:p>
      <w:pPr>
        <w:spacing w:after="0" w:line="3" w:lineRule="exact"/>
        <w:rPr>
          <w:sz w:val="20"/>
          <w:szCs w:val="20"/>
          <w:color w:val="auto"/>
        </w:rPr>
      </w:pPr>
    </w:p>
    <w:p>
      <w:pPr>
        <w:ind w:left="1080" w:right="10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77">
        <w:r>
          <w:rPr>
            <w:rFonts w:ascii="Times New Roman" w:cs="Times New Roman" w:eastAsia="Times New Roman" w:hAnsi="Times New Roman"/>
            <w:sz w:val="18"/>
            <w:szCs w:val="18"/>
            <w:u w:val="single" w:color="auto"/>
            <w:color w:val="0000FF"/>
          </w:rPr>
          <w:t>Silicon Laboratories Inc. 2009 Stock Incentive Plan (As Amended and Restated on April 22, 2021) (filed as Exhibit 4.3 to the Form S-8 filed</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on May 5, 2021).</w:t>
        </w:r>
      </w:hyperlink>
    </w:p>
    <w:p>
      <w:pPr>
        <w:spacing w:after="0" w:line="3" w:lineRule="exact"/>
        <w:rPr>
          <w:sz w:val="20"/>
          <w:szCs w:val="20"/>
          <w:color w:val="auto"/>
        </w:rPr>
      </w:pPr>
    </w:p>
    <w:p>
      <w:pPr>
        <w:ind w:left="1080" w:right="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78">
        <w:r>
          <w:rPr>
            <w:rFonts w:ascii="Times New Roman" w:cs="Times New Roman" w:eastAsia="Times New Roman" w:hAnsi="Times New Roman"/>
            <w:sz w:val="18"/>
            <w:szCs w:val="18"/>
            <w:u w:val="single" w:color="auto"/>
            <w:color w:val="0000FF"/>
          </w:rPr>
          <w:t>Silicon Laboratories Inc. 2009 Employee Stock Purchase Plan (As Amended and Restated on April 22, 2021) (filed as Exhibit 4.4 to the Form</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S-8 filed on May 5, 2021).</w:t>
        </w:r>
      </w:hyperlink>
    </w:p>
    <w:p>
      <w:pPr>
        <w:spacing w:after="0" w:line="3"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79">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Incentive Plan, as amended and restated (filed as Exhibit 10.1 to the Form 8-K filed on December 23, 2021).</w:t>
        </w:r>
      </w:hyperlink>
    </w:p>
    <w:p>
      <w:pPr>
        <w:spacing w:after="0" w:line="3"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80">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Incentive Plan, as amended and restated (filed as Exhibit 10.20 to the Form 10-K filed on February 1, 2023).</w:t>
        </w:r>
      </w:hyperlink>
    </w:p>
    <w:p>
      <w:pPr>
        <w:spacing w:after="0" w:line="3" w:lineRule="exact"/>
        <w:rPr>
          <w:sz w:val="20"/>
          <w:szCs w:val="20"/>
          <w:color w:val="auto"/>
        </w:rPr>
      </w:pPr>
    </w:p>
    <w:p>
      <w:pPr>
        <w:ind w:left="1080" w:right="40" w:hanging="885"/>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81">
        <w:r>
          <w:rPr>
            <w:rFonts w:ascii="Times New Roman" w:cs="Times New Roman" w:eastAsia="Times New Roman" w:hAnsi="Times New Roman"/>
            <w:sz w:val="18"/>
            <w:szCs w:val="18"/>
            <w:u w:val="single" w:color="auto"/>
            <w:color w:val="0000FF"/>
          </w:rPr>
          <w:t>Fifth Amendment to Credit Agreement, dated June 30, 2023,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July 3,</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2023).</w:t>
        </w:r>
      </w:hyperlink>
    </w:p>
    <w:p>
      <w:pPr>
        <w:spacing w:after="0" w:line="16" w:lineRule="exact"/>
        <w:rPr>
          <w:rFonts w:ascii="Times New Roman" w:cs="Times New Roman" w:eastAsia="Times New Roman" w:hAnsi="Times New Roman"/>
          <w:sz w:val="18"/>
          <w:szCs w:val="18"/>
          <w:u w:val="single" w:color="auto"/>
          <w:color w:val="0000FF"/>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82">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Incentive Plan, as amended and restated (filed as Exhibit 10.19 to the Form 10-K filed on February 20, 2024).</w:t>
        </w:r>
      </w:hyperlink>
    </w:p>
    <w:p>
      <w:pPr>
        <w:spacing w:after="0" w:line="3" w:lineRule="exact"/>
        <w:rPr>
          <w:sz w:val="20"/>
          <w:szCs w:val="20"/>
          <w:color w:val="auto"/>
        </w:rPr>
      </w:pPr>
    </w:p>
    <w:p>
      <w:pPr>
        <w:ind w:left="1080" w:right="220" w:hanging="841"/>
        <w:spacing w:after="0" w:line="277" w:lineRule="auto"/>
        <w:tabs>
          <w:tab w:leader="none" w:pos="10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 Incentive Plan, as amended and restated.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10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52" w:lineRule="exact"/>
        <w:rPr>
          <w:sz w:val="20"/>
          <w:szCs w:val="20"/>
          <w:color w:val="auto"/>
        </w:rPr>
      </w:pPr>
    </w:p>
    <w:p>
      <w:pPr>
        <w:ind w:left="360"/>
        <w:spacing w:after="0"/>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w:t>
      </w:r>
      <w:r>
        <w:rPr>
          <w:sz w:val="20"/>
          <w:szCs w:val="20"/>
          <w:color w:val="auto"/>
        </w:rPr>
        <w:tab/>
      </w:r>
      <w:hyperlink r:id="rId85">
        <w:r>
          <w:rPr>
            <w:rFonts w:ascii="Times New Roman" w:cs="Times New Roman" w:eastAsia="Times New Roman" w:hAnsi="Times New Roman"/>
            <w:sz w:val="18"/>
            <w:szCs w:val="18"/>
            <w:u w:val="single" w:color="auto"/>
            <w:color w:val="0000FF"/>
          </w:rPr>
          <w:t>Insider Trading Policy (filed as Exhibit 19 to the Form 10-K filed on February 4, 2025.)</w:t>
        </w:r>
      </w:hyperlink>
    </w:p>
    <w:p>
      <w:pPr>
        <w:spacing w:after="0" w:line="60" w:lineRule="exact"/>
        <w:rPr>
          <w:sz w:val="20"/>
          <w:szCs w:val="20"/>
          <w:color w:val="auto"/>
        </w:rPr>
      </w:pPr>
    </w:p>
    <w:p>
      <w:pPr>
        <w:ind w:left="1080" w:hanging="68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200" w:lineRule="exact"/>
        <w:rPr>
          <w:sz w:val="20"/>
          <w:szCs w:val="20"/>
          <w:color w:val="auto"/>
        </w:rPr>
      </w:pPr>
    </w:p>
    <w:p>
      <w:pPr>
        <w:spacing w:after="0" w:line="394" w:lineRule="exact"/>
        <w:rPr>
          <w:sz w:val="20"/>
          <w:szCs w:val="20"/>
          <w:color w:val="auto"/>
        </w:rPr>
      </w:pPr>
    </w:p>
    <w:p>
      <w:pPr>
        <w:ind w:left="1080" w:hanging="68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(included on signature page to this Form 10-K).</w:t>
      </w:r>
    </w:p>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31.1</w:t>
            </w:r>
          </w:p>
        </w:tc>
        <w:tc>
          <w:tcPr>
            <w:tcW w:w="7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the Principal Executive Officer, as required by Section 302 of the Sarbanes-Oxley Act of 2002.</w:t>
            </w:r>
          </w:p>
        </w:tc>
        <w:tc>
          <w:tcPr>
            <w:tcW w:w="2040" w:type="dxa"/>
            <w:vAlign w:val="bottom"/>
            <w:gridSpan w:val="2"/>
          </w:tcPr>
          <w:p>
            <w:pPr>
              <w:spacing w:after="0"/>
              <w:rPr>
                <w:sz w:val="17"/>
                <w:szCs w:val="17"/>
                <w:color w:val="auto"/>
              </w:rPr>
            </w:pP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31.2</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as required by Section 302 of the Sarbanes-Oxley Act of 2002.</w:t>
            </w: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32.1</w:t>
            </w:r>
          </w:p>
        </w:tc>
        <w:tc>
          <w:tcPr>
            <w:tcW w:w="5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Certification as required by Section 906 of the Sarbanes-Oxley Act of 2002.</w:t>
            </w:r>
          </w:p>
        </w:tc>
        <w:tc>
          <w:tcPr>
            <w:tcW w:w="2420" w:type="dxa"/>
            <w:vAlign w:val="bottom"/>
            <w:tcBorders>
              <w:top w:val="single" w:sz="8" w:color="0000FF"/>
            </w:tcBorders>
          </w:tcPr>
          <w:p>
            <w:pPr>
              <w:spacing w:after="0"/>
              <w:rPr>
                <w:sz w:val="21"/>
                <w:szCs w:val="21"/>
                <w:color w:val="auto"/>
              </w:rPr>
            </w:pPr>
          </w:p>
        </w:tc>
        <w:tc>
          <w:tcPr>
            <w:tcW w:w="2100" w:type="dxa"/>
            <w:vAlign w:val="bottom"/>
            <w:gridSpan w:val="3"/>
          </w:tcPr>
          <w:p>
            <w:pPr>
              <w:spacing w:after="0"/>
              <w:rPr>
                <w:sz w:val="21"/>
                <w:szCs w:val="21"/>
                <w:color w:val="auto"/>
              </w:rPr>
            </w:pP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97*</w:t>
            </w:r>
          </w:p>
        </w:tc>
        <w:tc>
          <w:tcPr>
            <w:tcW w:w="9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Policy Relating to Recovery of Erroneously Awarded Compensation (filed as Exhibit 97 to the Form 10-K filed on February 20, 2024).</w:t>
              </w:r>
            </w:hyperlink>
          </w:p>
        </w:tc>
        <w:tc>
          <w:tcPr>
            <w:tcW w:w="320" w:type="dxa"/>
            <w:vAlign w:val="bottom"/>
          </w:tcPr>
          <w:p>
            <w:pPr>
              <w:spacing w:after="0"/>
              <w:rPr>
                <w:sz w:val="21"/>
                <w:szCs w:val="21"/>
                <w:color w:val="auto"/>
              </w:rPr>
            </w:pPr>
          </w:p>
        </w:tc>
      </w:tr>
      <w:tr>
        <w:trPr>
          <w:trHeight w:val="269"/>
        </w:trPr>
        <w:tc>
          <w:tcPr>
            <w:tcW w:w="9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101.INS</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its XBRL tags are embedded</w:t>
            </w:r>
          </w:p>
        </w:tc>
      </w:tr>
      <w:tr>
        <w:trPr>
          <w:trHeight w:val="232"/>
        </w:trPr>
        <w:tc>
          <w:tcPr>
            <w:tcW w:w="920" w:type="dxa"/>
            <w:vAlign w:val="bottom"/>
          </w:tcPr>
          <w:p>
            <w:pPr>
              <w:spacing w:after="0"/>
              <w:rPr>
                <w:sz w:val="20"/>
                <w:szCs w:val="20"/>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101.SCH</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101.CAL</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101.LAB</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67"/>
        </w:trPr>
        <w:tc>
          <w:tcPr>
            <w:tcW w:w="9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101.PRE</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104</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5" w:lineRule="exact"/>
        <w:rPr>
          <w:sz w:val="20"/>
          <w:szCs w:val="20"/>
          <w:color w:val="auto"/>
        </w:rPr>
      </w:pPr>
    </w:p>
    <w:p>
      <w:pPr>
        <w:ind w:left="320" w:hanging="313"/>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94" w:lineRule="exact"/>
        <w:rPr>
          <w:sz w:val="20"/>
          <w:szCs w:val="20"/>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Austin, Texas, on February 10, 2026.</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SILICON LABORATORIES INC.</w:t>
      </w:r>
    </w:p>
    <w:p>
      <w:pPr>
        <w:spacing w:after="0" w:line="340" w:lineRule="exact"/>
        <w:rPr>
          <w:sz w:val="20"/>
          <w:szCs w:val="20"/>
          <w:color w:val="auto"/>
        </w:rPr>
      </w:pPr>
    </w:p>
    <w:p>
      <w:pPr>
        <w:ind w:left="538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41275</wp:posOffset>
            </wp:positionV>
            <wp:extent cx="3414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6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7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7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 Matthew Johnson and Dean Butler and each of them, acting individually, as his or her attorney-in-fact, each with full power of substitution and resubstitution, for him or her and in his or her name, place and stead, in any and all capacities, to sign any and all amendments to this annual report on Form 10-K and other documents in connection herewith and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herewith and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0" w:type="dxa"/>
            <w:vAlign w:val="bottom"/>
          </w:tcPr>
          <w:p>
            <w:pPr>
              <w:spacing w:after="0"/>
              <w:rPr>
                <w:sz w:val="16"/>
                <w:szCs w:val="16"/>
                <w:color w:val="auto"/>
              </w:rPr>
            </w:pPr>
          </w:p>
        </w:tc>
        <w:tc>
          <w:tcPr>
            <w:tcW w:w="576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8"/>
        </w:trPr>
        <w:tc>
          <w:tcPr>
            <w:tcW w:w="2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Navdeep S. Sooch</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Chairman of the Board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Navdeep S. Sooch</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R. Matthew Johnson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 Matthew Johnson</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Dean Butler</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Dean Butler</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Mark D. Mauldin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Accounting Officer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D. Mauldin</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William G. Bock</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 G. Bock</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Gregg Lowe</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Gregg Lowe</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Sherri Luther</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Sherri Luther</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Nina Richardson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Nina Richardson</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Sumit Sadana</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Sumit Sadana</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Christy Wyatt</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10, 2026</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Christy Wyatt</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Silicon Laboratories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184"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Silicon Laboratories Inc. and subsidiaries (the “Company”) as of January 3, 2026 and the related consolidated statements of operations, comprehensive loss, changes in stockholders’ equity, and cash flows, for the year ended January 3, 2026, and the related notes (collectively referred to as the “financial statements”). In our opinion, the financial statements present fairly, in all material respects, the financial position of the Company as of January 3, 2026 and the results of its operations and its cash flows for the year ended January 3, 2026, in conformity with accounting principles generally accepted in the United States of America.</w:t>
      </w:r>
    </w:p>
    <w:p>
      <w:pPr>
        <w:spacing w:after="0" w:line="186"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January 3, 2026, based on criteria established in Internal Control — Integrated Framework (2013) issued by the Committee of Sponsoring Organizations of the Treadway Commission and our report dated February 10, 2026, expressed an unqualified opinion on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84" w:lineRule="exact"/>
        <w:rPr>
          <w:sz w:val="20"/>
          <w:szCs w:val="20"/>
          <w:color w:val="auto"/>
        </w:rPr>
      </w:pPr>
    </w:p>
    <w:p>
      <w:pPr>
        <w:jc w:val="both"/>
        <w:ind w:right="120" w:firstLine="320"/>
        <w:spacing w:after="0" w:line="28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Critical Audit Matter</w:t>
      </w:r>
    </w:p>
    <w:p>
      <w:pPr>
        <w:spacing w:after="0" w:line="197"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2"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i w:val="1"/>
          <w:iCs w:val="1"/>
          <w:color w:val="333333"/>
        </w:rPr>
        <w:t xml:space="preserve">Inventories – Inventory Valuation — Refer to Note 2 to the financial statements </w:t>
      </w:r>
      <w:r>
        <w:rPr>
          <w:rFonts w:ascii="Times New Roman" w:cs="Times New Roman" w:eastAsia="Times New Roman" w:hAnsi="Times New Roman"/>
          <w:sz w:val="18"/>
          <w:szCs w:val="18"/>
          <w:i w:val="1"/>
          <w:iCs w:val="1"/>
          <w:color w:val="333333"/>
        </w:rPr>
        <w:t>Critical Audit Matter Description</w:t>
      </w:r>
    </w:p>
    <w:p>
      <w:pPr>
        <w:spacing w:after="0" w:line="2"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Inventory is stated at the lower of cost, determined using the first-in, first-out method, or net realizable value. The Company writes down the carrying value of inventory to net realizable value if it is obsolete or unmarketable based upon the age of inventory or if quantities are in excess of customer demand. Inventory not identified to be written down due to aging is compared to an eighteen-month forecasted demand to identify potential excess inventory quantities on hand. Management estimates of forecasted demand is based on various assumptions, including but not limited to assumptions regarding product life cycles and market conditions. As of January 3, 2026, the Company’s inventory balance was $95.6 million.</w:t>
      </w:r>
    </w:p>
    <w:p>
      <w:pPr>
        <w:spacing w:after="0" w:line="186" w:lineRule="exact"/>
        <w:rPr>
          <w:sz w:val="20"/>
          <w:szCs w:val="20"/>
          <w:color w:val="auto"/>
        </w:rPr>
      </w:pPr>
    </w:p>
    <w:p>
      <w:pPr>
        <w:ind w:right="200" w:firstLine="320"/>
        <w:spacing w:after="0" w:line="262" w:lineRule="auto"/>
        <w:rPr>
          <w:sz w:val="20"/>
          <w:szCs w:val="20"/>
          <w:color w:val="auto"/>
        </w:rPr>
      </w:pPr>
      <w:r>
        <w:rPr>
          <w:rFonts w:ascii="Times New Roman" w:cs="Times New Roman" w:eastAsia="Times New Roman" w:hAnsi="Times New Roman"/>
          <w:sz w:val="18"/>
          <w:szCs w:val="18"/>
          <w:color w:val="auto"/>
        </w:rPr>
        <w:t>We identified inventory valuation as a critical audit matter because of the significant assumptions management makes with regards to estimating the forecasted demand. Performing audit procedures to evaluate the reasonableness of management’s estimates of forecasted demand required a high degree of auditor judgment and increased audit effort.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33333"/>
        </w:rPr>
        <w:t>How the Critical Audit Matter Was Addressed in the Audit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audit procedures related to management’s estimates of forecasted demand used in the valuation of inventory included the following, among others:</w:t>
      </w:r>
    </w:p>
    <w:p>
      <w:pPr>
        <w:spacing w:after="0" w:line="231" w:lineRule="exact"/>
        <w:rPr>
          <w:sz w:val="20"/>
          <w:szCs w:val="20"/>
          <w:color w:val="auto"/>
        </w:rPr>
      </w:pPr>
    </w:p>
    <w:p>
      <w:pPr>
        <w:ind w:left="640" w:hanging="313"/>
        <w:spacing w:after="0" w:line="277"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management’s provisions for slow moving and obsolete inventories, including internal controls designed to review and approve forecasted demand and the underlying assumptions regarding product life cycles and market conditions.</w:t>
      </w:r>
    </w:p>
    <w:p>
      <w:pPr>
        <w:spacing w:after="0" w:line="162"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forecasted demand by comparing estimates made in prior periods to the historical actual results for those same periods.</w:t>
      </w:r>
    </w:p>
    <w:p>
      <w:pPr>
        <w:spacing w:after="0" w:line="162"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of Company personnel including executive, sales and marketing, and operations personnel about product life cycles and market conditions and compared expectations to those included in the forecasted demand.</w:t>
      </w:r>
    </w:p>
    <w:p>
      <w:pPr>
        <w:spacing w:after="0" w:line="162" w:lineRule="exact"/>
        <w:rPr>
          <w:rFonts w:ascii="Times New Roman" w:cs="Times New Roman" w:eastAsia="Times New Roman" w:hAnsi="Times New Roman"/>
          <w:sz w:val="18"/>
          <w:szCs w:val="18"/>
          <w:color w:val="auto"/>
        </w:rPr>
      </w:pPr>
    </w:p>
    <w:p>
      <w:pPr>
        <w:ind w:left="640" w:right="40" w:hanging="313"/>
        <w:spacing w:after="0" w:line="277"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inventory products and tested the forecasted demand by comparing internal and external information (e.g., historical sales, customer backlog, communications with customers, product life cycles and market conditions, as applicable) with the Company’s forecast.</w:t>
      </w:r>
    </w:p>
    <w:p>
      <w:pPr>
        <w:spacing w:after="0" w:line="162" w:lineRule="exact"/>
        <w:rPr>
          <w:rFonts w:ascii="Times New Roman" w:cs="Times New Roman" w:eastAsia="Times New Roman" w:hAnsi="Times New Roman"/>
          <w:sz w:val="18"/>
          <w:szCs w:val="18"/>
          <w:color w:val="auto"/>
        </w:rPr>
      </w:pPr>
    </w:p>
    <w:p>
      <w:pPr>
        <w:ind w:left="640" w:right="160" w:hanging="313"/>
        <w:spacing w:after="0" w:line="262"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when relevant, the existence of contradictory evidence based on reading of internal financial and operational information used by management and the board of directors, Company press releases, and analysts’ reports, as well as our observations and inquiries as to changes within the business and evidence obtained through other areas of the audit.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Silicon Laboratories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184"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Silicon Laboratories Inc. (the Company) as of December 28, 2024, the related consolidated statements of operations, comprehensive loss, changes in stockholders’ equity and cash flows for each of the two years in the period ended December 28, 2024, and the related notes (collectively referred to as the “consolidated financial statements”). In our opinion, the consolidated financial statements present fairly, in all material respects, the financial position of the Company at December 28, 2024, and the results of its operations and its cash flows for each of the two years in the period ended December 28, 2024,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4"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1996 to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281,607</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602,033</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0" w:type="dxa"/>
            <w:vAlign w:val="bottom"/>
          </w:tcPr>
          <w:p>
            <w:pPr>
              <w:spacing w:after="0"/>
              <w:rPr>
                <w:sz w:val="1"/>
                <w:szCs w:val="1"/>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0" w:type="dxa"/>
            <w:vAlign w:val="bottom"/>
          </w:tcPr>
          <w:p>
            <w:pPr>
              <w:spacing w:after="0"/>
              <w:rPr>
                <w:sz w:val="1"/>
                <w:szCs w:val="1"/>
                <w:color w:val="auto"/>
              </w:rPr>
            </w:pPr>
          </w:p>
        </w:tc>
      </w:tr>
      <w:tr>
        <w:trPr>
          <w:trHeight w:val="26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50,717</w:t>
            </w:r>
          </w:p>
        </w:tc>
        <w:tc>
          <w:tcPr>
            <w:tcW w:w="100" w:type="dxa"/>
            <w:vAlign w:val="bottom"/>
          </w:tcPr>
          <w:p>
            <w:pPr>
              <w:spacing w:after="0"/>
              <w:rPr>
                <w:sz w:val="22"/>
                <w:szCs w:val="22"/>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and returns liability</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6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97,883</w:t>
            </w:r>
          </w:p>
        </w:tc>
        <w:tc>
          <w:tcPr>
            <w:tcW w:w="0" w:type="dxa"/>
            <w:vAlign w:val="bottom"/>
          </w:tcPr>
          <w:p>
            <w:pPr>
              <w:spacing w:after="0"/>
              <w:rPr>
                <w:sz w:val="1"/>
                <w:szCs w:val="1"/>
                <w:color w:val="auto"/>
              </w:rPr>
            </w:pPr>
          </w:p>
        </w:tc>
      </w:tr>
      <w:tr>
        <w:trPr>
          <w:trHeight w:val="26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142,653</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 $0.0001 par value; 250,000 shares authorized; 32,955 and 32,458 shares issued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January 3, 2026 and December 28, 2024, respectively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0" w:type="dxa"/>
            <w:vAlign w:val="bottom"/>
          </w:tcPr>
          <w:p>
            <w:pPr>
              <w:spacing w:after="0"/>
              <w:rPr>
                <w:sz w:val="1"/>
                <w:szCs w:val="1"/>
                <w:color w:val="auto"/>
              </w:rPr>
            </w:pPr>
          </w:p>
        </w:tc>
      </w:tr>
      <w:tr>
        <w:trPr>
          <w:trHeight w:val="247"/>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1,094,418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1,269,317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r>
      <w:tr>
        <w:trPr>
          <w:trHeight w:val="24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327,781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321,672</w:t>
            </w: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460,586</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353,246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337,744</w:t>
            </w: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146,996</w:t>
            </w: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527,524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484,740</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w:t>
            </w:r>
          </w:p>
        </w:tc>
      </w:tr>
      <w:tr>
        <w:trPr>
          <w:trHeight w:val="254"/>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Equity-method loss</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r>
      <w:tr>
        <w:trPr>
          <w:trHeight w:val="253"/>
        </w:trPr>
        <w:tc>
          <w:tcPr>
            <w:tcW w:w="66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r>
      <w:tr>
        <w:trPr>
          <w:trHeight w:val="25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(64,907)</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3"/>
        </w:trPr>
        <w:tc>
          <w:tcPr>
            <w:tcW w:w="6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r>
      <w:tr>
        <w:trPr>
          <w:trHeight w:val="241"/>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31,804</w:t>
            </w: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5"/>
        </w:trPr>
        <w:tc>
          <w:tcPr>
            <w:tcW w:w="6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4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3"/>
                <w:szCs w:val="13"/>
                <w:color w:val="auto"/>
              </w:rPr>
            </w:pPr>
          </w:p>
        </w:tc>
        <w:tc>
          <w:tcPr>
            <w:tcW w:w="130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r>
      <w:tr>
        <w:trPr>
          <w:trHeight w:val="26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loss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r>
      <w:tr>
        <w:trPr>
          <w:trHeight w:val="267"/>
        </w:trPr>
        <w:tc>
          <w:tcPr>
            <w:tcW w:w="6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4"/>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gains included in net loss</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73"/>
        </w:trPr>
        <w:tc>
          <w:tcPr>
            <w:tcW w:w="6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53"/>
        </w:trPr>
        <w:tc>
          <w:tcPr>
            <w:tcW w:w="6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53"/>
        </w:trPr>
        <w:tc>
          <w:tcPr>
            <w:tcW w:w="6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(189,915)</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(24,853)</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3"/>
        </w:trPr>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0"/>
        </w:trPr>
        <w:tc>
          <w:tcPr>
            <w:tcW w:w="3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06"/>
        </w:trPr>
        <w:tc>
          <w:tcPr>
            <w:tcW w:w="39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5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1,405,008</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(213,024)</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debt activity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5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1,208,682</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61,342</w:t>
            </w:r>
          </w:p>
        </w:tc>
      </w:tr>
      <w:tr>
        <w:trPr>
          <w:trHeight w:val="25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80,243</w:t>
            </w:r>
          </w:p>
        </w:tc>
      </w:tr>
      <w:tr>
        <w:trPr>
          <w:trHeight w:val="27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 2026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936,814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1,094,418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(191,010)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(34,516)</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25,707</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25,374</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48,208</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Equity-method loss</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42,142</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(93,398)</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(25,644)</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 and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(37,793)</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 and returns liability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29,793</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95,708</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(30,348)</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(103,485)</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395,565</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200,530</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(22,282)</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capital-related government incentives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113,117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469,808</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(571,157)</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(217,137)</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taxes withheld for vested stock awards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(18,189)</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(711,871)</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(272,411)</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499,915</w:t>
            </w:r>
          </w:p>
        </w:tc>
      </w:tr>
      <w:tr>
        <w:trPr>
          <w:trHeight w:val="23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364,222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281,607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227,504</w:t>
            </w:r>
          </w:p>
        </w:tc>
      </w:tr>
      <w:tr>
        <w:trPr>
          <w:trHeight w:val="23"/>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
        </w:trPr>
        <w:tc>
          <w:tcPr>
            <w:tcW w:w="6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32"/>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31,713</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settlement of convertible debt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148,487</w:t>
            </w:r>
          </w:p>
        </w:tc>
      </w:tr>
      <w:tr>
        <w:trPr>
          <w:trHeight w:val="32"/>
        </w:trPr>
        <w:tc>
          <w:tcPr>
            <w:tcW w:w="6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ind w:right="140" w:firstLine="320"/>
        <w:spacing w:after="0" w:line="252" w:lineRule="auto"/>
        <w:rPr>
          <w:sz w:val="20"/>
          <w:szCs w:val="20"/>
          <w:color w:val="auto"/>
        </w:rPr>
      </w:pPr>
      <w:r>
        <w:rPr>
          <w:rFonts w:ascii="Times New Roman" w:cs="Times New Roman" w:eastAsia="Times New Roman" w:hAnsi="Times New Roman"/>
          <w:sz w:val="18"/>
          <w:szCs w:val="18"/>
          <w:color w:val="auto"/>
        </w:rPr>
        <w:t>Silicon Laboratories Inc. (the “Company”), a Delaware corporation, is a leader in secure, intelligent wireless technology for a more connected world. Our integrated hardware and software platform, intuitive development tools, industry-leading ecosystem, and robust support help customers build advanced industrial, commercial, home, and life applications. The Company provides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Within the semiconductor industry, the Company is known as a “fabless” company meaning that the integrated circuits (“ICs”) incorporated in its products are manufactured by third-party foundry semiconductor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2"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The Company prepares financial statements on a 52- or 53-week fiscal year that ends on the Saturday closest to December 31. Fiscal 2025, had 53 weeks with the extra week occurring in the first quarter of the year. Fiscal 2024 and 2023 had 52 weeks. Fiscal 2025, 2024, and 2023 ended on January 3, 2026, December 28, 2024, and December 30, 2023, respectively. The accompanying Consolidated Financial Statements include the accounts of the Company and its wholly 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The Company’s foreign subsidiaries are considered to be extensions of the U.S. Company. The functional currency of the foreign subsidiaries is the U.S. dollar. Accordingly, gains and losses resulting from remeasuring transactions denominated in currencies other than U.S. dollars are included in interest income and other, net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2"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Level 2 - Inputs other than Level 1 that are directly or indirectly observable, such as quoted prices for similar assets or liabilities and quoted prices in less active markets.</w:t>
      </w:r>
    </w:p>
    <w:p>
      <w:pPr>
        <w:spacing w:after="0" w:line="163"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and cash equivalents consist of cash deposits, time deposits and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95"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The Company’s investments typically have original maturities greater than ninety days as of the date of purchase and are classified as available-for-sale securities. Investments in available-for-sale securities are reported at fair value, with unrealized gains and losses, net of tax, recorded as a component of accumulated other comprehensive income in the Consolidated Balance Sheet. Investments in which the Company has the ability and intent, if necessary, to liquidate in order to support its current operations (including those with contractual maturities greater than one year from the date of purchase) are classified as short-term.</w:t>
      </w:r>
    </w:p>
    <w:p>
      <w:pPr>
        <w:spacing w:after="0" w:line="146" w:lineRule="exact"/>
        <w:rPr>
          <w:sz w:val="20"/>
          <w:szCs w:val="20"/>
          <w:color w:val="auto"/>
        </w:rPr>
      </w:pPr>
    </w:p>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The Company reviews its available-for-sale investments as of the end of each reporting period for declines in fair value based on the specific identification method. The Company records an allowance for credit loss when a decline in fair value is due to credit-related factors. The Company considers various factors in determining whether an investment is impaired, including the severity of the impairment, changes in underlying credit ratings, forecasted recovery, its intent to sell or the likelihood that it would be required to sell the investment before its anticipated recovery in market value and the probability that the scheduled cash payments will continue to be made. When the Company concludes that a credit-related impairment has occurred, the Company assesses whether it intends to sell the security or if it is more likely than not that it will be required to sell the security before recovery. If either of these two conditions is met, the Company recognizes a charge in earnings equal to the entire difference between the security’s amortized cost basis and its fair value. If the Company does not intend to sell a security and it is not more likely than not that it will be required to sell the security before recovery, the unrealized loss is separated into an amount representing the credit loss, which is recognized in earnings, and the amount related to all other factors, which is recorded in accumulated other comprehensive income.</w:t>
      </w:r>
    </w:p>
    <w:p>
      <w:pPr>
        <w:spacing w:after="0" w:line="192" w:lineRule="exact"/>
        <w:rPr>
          <w:sz w:val="20"/>
          <w:szCs w:val="20"/>
          <w:color w:val="auto"/>
        </w:rPr>
      </w:pPr>
    </w:p>
    <w:p>
      <w:pPr>
        <w:ind w:right="60" w:firstLine="320"/>
        <w:spacing w:after="0" w:line="266" w:lineRule="auto"/>
        <w:rPr>
          <w:sz w:val="20"/>
          <w:szCs w:val="20"/>
          <w:color w:val="auto"/>
        </w:rPr>
      </w:pPr>
      <w:r>
        <w:rPr>
          <w:rFonts w:ascii="Times New Roman" w:cs="Times New Roman" w:eastAsia="Times New Roman" w:hAnsi="Times New Roman"/>
          <w:sz w:val="17"/>
          <w:szCs w:val="17"/>
          <w:color w:val="auto"/>
        </w:rPr>
        <w:t xml:space="preserve">In addition, the Company has made equity investments in non-publicly traded companies. Equity investments in which the Company does not have control, but has the ability to exercise significant influence over operating and financial policies, are accounted for using the equity method. The Company’s proportionate share of income or loss is recorded in equity-method earnings in the Consolidated Statements of Operations. For equity investments in which the Company does not have control or the ability to exercise significant influence over operating and financial policies, the Company has elected to use the measurement alternative under Financial Accounting Standards Board (“FASB”) Accounting Standards Update (“ASU”) 2019-04, </w:t>
      </w:r>
      <w:r>
        <w:rPr>
          <w:rFonts w:ascii="Times New Roman" w:cs="Times New Roman" w:eastAsia="Times New Roman" w:hAnsi="Times New Roman"/>
          <w:sz w:val="17"/>
          <w:szCs w:val="17"/>
          <w:i w:val="1"/>
          <w:iCs w:val="1"/>
          <w:color w:val="auto"/>
        </w:rPr>
        <w:t>Codification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Topic 326, Financial Instruments—Credit Losses, Topic 815, Derivatives and Hedging, and Topic 825, Financial Instruments, </w:t>
      </w:r>
      <w:r>
        <w:rPr>
          <w:rFonts w:ascii="Times New Roman" w:cs="Times New Roman" w:eastAsia="Times New Roman" w:hAnsi="Times New Roman"/>
          <w:sz w:val="17"/>
          <w:szCs w:val="17"/>
          <w:color w:val="auto"/>
        </w:rPr>
        <w:t>to value non-marketable equity investments that do not have readily determinable fair values. Under the alternative, these non-marketable equity investments are recorded at cost minus impairment, if any, plus or minus changes resulting from qualifying observable price changes of the same or similar securities in observable transactions. The Company periodically reviews its equity investments for declines in fair value based on the specific identification method and writes down investments to their estimated fair values when it determines that a decline has occurred. In fiscal 2023, the Company sold its ownership in Walden Technology Ventures III, a limited partnership, and recognized the loss in the Consolidated Statement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2"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Consolidated Balance Sheet at fair value. Cash flows from derivatives are classified according to the nature of the cash receipt or payment in the Consolidated Statement of Cash Flows.</w:t>
      </w:r>
    </w:p>
    <w:p>
      <w:pPr>
        <w:spacing w:after="0" w:line="186"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Company also uses foreign currency forward contracts to reduce the earnings impact that exchange rate fluctuations have on non-U.S. dollar balance sheet exposures. The Company does not apply hedge accounting to these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2"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Inventories are stated at the lower of cost, determined using the first-in, first-out method, or net realizable value. The Company writes down the carrying value of inventory to net realizable value for estimated obsolescence or unmarketable inventory based upon assumptions about the age of inventory, future demand and market conditions. Inventory impairment charges establish a new cost basis for inventory and charges are not subsequently reversed to income even if circumstances later suggest that increased carrying amounts are recoverable.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Incentives</w:t>
      </w:r>
    </w:p>
    <w:p>
      <w:pPr>
        <w:spacing w:after="0" w:line="222"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Incentives provided by government entities are recognized when we have reasonable assurance that we have complied with the conditions of the incentive, if any, and that the incentive will be received. Incentives for specific operating activities are recognized as a reduction to expense in the same line item on the Consolidated Statements of Operations as the expenditure for which the incentive is intended to compensate. Incentives related to the acquisition or construction of fixed assets are recognized as a reduction to property, plant and equipment within the Consolidated Balance Sheets and a reduction to depreciation expense over the useful life of the corresponding acquired asset.</w:t>
      </w:r>
    </w:p>
    <w:p>
      <w:pPr>
        <w:spacing w:after="0" w:line="186"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The Company receives incentives from governmental agencies in the United States, Singapore, France, and Canada, principally in the form of cash grants and refundable tax credits. As of January 3, 2026, the Company recognized receivables related to these incentives of $23.7 million in Prepaid expenses and other current assets and $6.3 million in Other assets, net. As of December 28, 2024, the Company recognized receivables of $5.2 million in Prepaid expenses and other current assets and $4.9 million in Other assets, net.</w:t>
      </w:r>
    </w:p>
    <w:p>
      <w:pPr>
        <w:spacing w:after="0" w:line="181"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In fiscal 2025, Cost of revenues and Research and development benefited by $1.8 million and $13.9 million, respectively, from a reduction in depreciation expense and operating-related incentives, and property, plant and equipment was reduced by $11.3 million from government incentives related to capital expenditures. In fiscal 2024, Cost of revenues and Research and development benefited by $0.7 million and $4.0 million, respectively, from a reduction in depreciation expense and operating-related incentives, and property, plant and equipment was reduced by $1.1 million from government incentives related to capital expenditures. In fiscal 2023, the impact to Cost of revenues and Research and development was not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2"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useful lives of the assets ranging from three to fifteen years. Leasehold improvements are depreciated over the lease term or their useful life, whichever is shorter.</w:t>
      </w:r>
    </w:p>
    <w:p>
      <w:pPr>
        <w:spacing w:after="0" w:line="163"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The Company owns the facilities for its headquarters in Austin, Texas. The buildings are located on land which is leased through 2099 from a third party. The rents for these ground leases were prepaid for the term of the leases. The buildings and leasehold interest in ground leases are being depreciated on a straight-line basis over their estimated useful lives of 40 years and 86 years,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2"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The Company records business combinations using the acquisition method of accounting and, accordingly, allocates the fair value of acquisition consideration to the assets acquired and liabilities assumed based on their fair values at the acquisition date. The excess of the fair value of purchase consideration over the fair value of the assets acquired and liabilities assumed is recorded as goodwill. The results of operations of the businesses acquired are included in the Company’s consolidated results of operations beginning on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2" w:lineRule="exact"/>
        <w:rPr>
          <w:sz w:val="20"/>
          <w:szCs w:val="20"/>
          <w:color w:val="auto"/>
        </w:rPr>
      </w:pPr>
    </w:p>
    <w:p>
      <w:pPr>
        <w:jc w:val="both"/>
        <w:ind w:right="340" w:firstLine="320"/>
        <w:spacing w:after="0" w:line="262" w:lineRule="auto"/>
        <w:rPr>
          <w:sz w:val="20"/>
          <w:szCs w:val="20"/>
          <w:color w:val="auto"/>
        </w:rPr>
      </w:pPr>
      <w:r>
        <w:rPr>
          <w:rFonts w:ascii="Times New Roman" w:cs="Times New Roman" w:eastAsia="Times New Roman" w:hAnsi="Times New Roman"/>
          <w:sz w:val="18"/>
          <w:szCs w:val="18"/>
          <w:color w:val="auto"/>
        </w:rPr>
        <w:t>Purchased intangible assets are stated at cost, net of accumulated amortization, and are amortized using the straight-line method over their estimated useful lives, ranging from seven to twelve years. Fair values are determined primarily using the income approach, in which the Company projects future expected cash flows and applies an appropriate discount rate.</w:t>
      </w:r>
    </w:p>
    <w:p>
      <w:pPr>
        <w:spacing w:after="0" w:line="176"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81"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The Company tests goodwill for impairment annually as of the first day of its fourth fiscal quarter and in interim periods if events occur that would indicate that the carrying value of goodwill may be impaired. When testing goodwill for impairment, the Company first assesses qualitative factors to determine whether it is more likely than not that the fair value of the reporting unit is less than its carrying amount as a basis for determining whether it is necessary to perform the quantitative goodwill impairment test. The Company has identified that the business operates as a single operating segment and as a single reporting unit for the purpose of goodwill impairment testing. If a quantitative test is necessary, the Company assesses goodwill for impairment by comparing the fair value of the reporting unit to its carrying amount, including goodwill. In determining fair value, several valuation methodologies are allowed, although quoted market prices are the best evidence of fair value. If the fair value of the reporting unit is less than its carrying amount, an impairment loss is recognized equal to that excess amount in the fiscal quarter in which the determination is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As its leases typically do not provide an implicit rate, the Company uses its incremental borrowing rate based on the information available at the commencement date taking into consideration necessary adjustments for collateral, depending on the facts and circumstances of the lessee and the leased asset, and term to match the lease term. The right-of-use (“ROU”) asset is measured at cost, which includes the initial measurement of the lease liability and initial direct costs incurred by the Company and excludes lease incentives. Lease liabilities are recorded in other current liabilities and other non-current liabilities. ROU assets are recorded in other assets, net.</w:t>
      </w:r>
    </w:p>
    <w:p>
      <w:pPr>
        <w:spacing w:after="0" w:line="146" w:lineRule="exact"/>
        <w:rPr>
          <w:sz w:val="20"/>
          <w:szCs w:val="20"/>
          <w:color w:val="auto"/>
        </w:rPr>
      </w:pPr>
    </w:p>
    <w:p>
      <w:pPr>
        <w:ind w:right="340" w:firstLine="320"/>
        <w:spacing w:after="0" w:line="262"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that option. Operating lease costs are recognized on a straight-line basis over the lease term. Lease agreements that contain both lease and non-lease components are generally accounted for separately.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2"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customer, in an amount that reflects the consideration the Company expects to be entitled to in exchange for those goods or services. Substantially all of the Company’s contracts with customers contain a single performance obligation, the sale of mixed-signal integrated circuit (IC) products. This performance obligation is satisfied when control of the product is transferred to the customer, which typically occurs upon shipment. Unsatisfied performance obligations primarily represent contracts for products with future delivery dates. The Company has opted to not disclose the amount of unsatisfied performance obligations as these contracts have original expected durations of less than one year.</w:t>
      </w:r>
    </w:p>
    <w:p>
      <w:pPr>
        <w:spacing w:after="0" w:line="145"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7"/>
          <w:szCs w:val="17"/>
          <w:color w:val="auto"/>
        </w:rPr>
        <w:t>The transaction price reflects the Company’s expectations about the consideration it will be entitled to receive from the customer and may include fixed or variable amounts. Variable consideration primarily includes sales made to distributors under agreements allowing for credits to be issued to the distributor due to price protection and certain rights of return, referred to as stock rotation. The Company estimates variable consideration at the most likely amount to which it expects to be entitled. The estimate is based on information available to the Company, including recent sales activity and pricing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The Company applies a constraint to its variable consideration estimate which considers both the likelihood of a return and the amount of a potential price concession. Variable consideration that does not meet revenue recognition criteria is deferred. The Company’s products carry a one-year replacement warranty, which is accounted for as an assurance-type warranty. Payments are typically due within 30 days of invoicing and do not include a significant financing component.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Shipping and handling costs are classified as a component of cost of revenues in the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0" w:lineRule="exact"/>
        <w:rPr>
          <w:sz w:val="20"/>
          <w:szCs w:val="20"/>
          <w:color w:val="auto"/>
        </w:rPr>
      </w:pPr>
    </w:p>
    <w:p>
      <w:pPr>
        <w:ind w:right="100" w:firstLine="320"/>
        <w:spacing w:after="0" w:line="279" w:lineRule="auto"/>
        <w:rPr>
          <w:sz w:val="20"/>
          <w:szCs w:val="20"/>
          <w:color w:val="auto"/>
        </w:rPr>
      </w:pPr>
      <w:r>
        <w:rPr>
          <w:rFonts w:ascii="Times New Roman" w:cs="Times New Roman" w:eastAsia="Times New Roman" w:hAnsi="Times New Roman"/>
          <w:sz w:val="18"/>
          <w:szCs w:val="18"/>
          <w:color w:val="auto"/>
        </w:rPr>
        <w:t xml:space="preserve">The Company has stock-based compensation plans, which are more fully described in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Company accounts for those plans using a fair-value method and recognizes the expense in its Consolidated Statement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p>
      <w:pPr>
        <w:ind w:right="460" w:firstLine="32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Assets purchased to support the Company’s ongoing research and development activities are capitalized when related to products which have achieved technological feasibility or have an alternative future use, and are amortized over their estimated useful lives.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expenses were not material for any of the periods presented.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whereby deferred tax asset and liability account balances are determined based on differences between the financial reporting and the tax bases of assets and liabilities and are measured using the enacted tax laws and related rates that will be in effect when the differences are expected to reverse. These differences result in deferred tax assets and liabilities, which are included in the Company’s Consolidated Balance Sheets. The Company then assesses the likelihood that the deferred tax assets will be realized. A valuation allowance is established against deferred tax assets to the extent the Company believes that it is more likely than not that the deferred tax assets will not be realized, taking into consideration the level of historical taxable income and projections for future taxable income over the periods in which the temporary differences are deductible.</w:t>
      </w:r>
    </w:p>
    <w:p>
      <w:pPr>
        <w:spacing w:after="0" w:line="187" w:lineRule="exact"/>
        <w:rPr>
          <w:sz w:val="20"/>
          <w:szCs w:val="20"/>
          <w:color w:val="auto"/>
        </w:rPr>
      </w:pPr>
    </w:p>
    <w:p>
      <w:pPr>
        <w:ind w:right="460" w:firstLine="320"/>
        <w:spacing w:after="0" w:line="262" w:lineRule="auto"/>
        <w:rPr>
          <w:sz w:val="20"/>
          <w:szCs w:val="20"/>
          <w:color w:val="auto"/>
        </w:rPr>
      </w:pPr>
      <w:r>
        <w:rPr>
          <w:rFonts w:ascii="Times New Roman" w:cs="Times New Roman" w:eastAsia="Times New Roman" w:hAnsi="Times New Roman"/>
          <w:sz w:val="18"/>
          <w:szCs w:val="18"/>
          <w:color w:val="auto"/>
        </w:rPr>
        <w:t xml:space="preserve">Uncertain tax positions must meet a more-likely-than-not threshold to be recognized in the financial statements and the tax benefits recognized are measured based on the largest benefit that has a greater than 50% likelihood of being realized upon final settlement.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p>
    <w:p>
      <w:pPr>
        <w:spacing w:after="0" w:line="220" w:lineRule="exact"/>
        <w:rPr>
          <w:sz w:val="20"/>
          <w:szCs w:val="20"/>
          <w:color w:val="auto"/>
        </w:rPr>
      </w:pPr>
    </w:p>
    <w:p>
      <w:pPr>
        <w:jc w:val="both"/>
        <w:ind w:right="140" w:firstLine="320"/>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FASB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on January 3, 2026 on a prospective basis.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requirements of this ASU are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 xml:space="preserve">disclosure-related and did not have an impact on the Company’s consolidated financial position and results of operations.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updated income tax disclosures as a result of adopting this ASU.</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0" w:lineRule="exact"/>
        <w:rPr>
          <w:sz w:val="20"/>
          <w:szCs w:val="20"/>
          <w:color w:val="auto"/>
        </w:rPr>
      </w:pPr>
    </w:p>
    <w:p>
      <w:pPr>
        <w:ind w:right="100" w:firstLine="3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that public business entities disclose additional information about specific expense categories in the notes to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5" w:lineRule="exact"/>
        <w:rPr>
          <w:sz w:val="20"/>
          <w:szCs w:val="20"/>
          <w:color w:val="auto"/>
        </w:rPr>
      </w:pPr>
    </w:p>
    <w:p>
      <w:pPr>
        <w:ind w:right="280" w:firstLine="320"/>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This ASU clarifies and modernizes the accounting for costs related to internal-use software. The amendments in the ASU are effective for all entities for annual reporting periods beginning after December 15, 2027, and interim reporting periods within those annual reporting periods. Entities may apply the guidance using a prospective, retrospective or modified transition approach. Early adoption is permitted as of the beginning of an annual reporting period. The Company is currently evaluating the effect of this new guidance on its consolidated financial statements.</w:t>
      </w:r>
    </w:p>
    <w:p>
      <w:pPr>
        <w:spacing w:after="0" w:line="181"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xml:space="preserve"> This ASU establishes authoritative guidance about the recognition, measurement, and presentation of a grant received by a business entity from a government, including guidance for 1) a grant related to an asset and 2) a grant related to income. The amendments in this ASU are effective for annual reporting periods beginning after December 15, 2028, and interim reporting periods within those annual reporting periods. Entities may apply the guidance using a modified prospective or modified retrospective approach. Early adoption is permitted in both interim and annual reporting periods. The Company is currently evaluating the effect of this new guidance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(Loss) Per Share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(in thousands, except per share data):</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53"/>
        </w:trPr>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loss per share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r>
      <w:tr>
        <w:trPr>
          <w:trHeight w:val="267"/>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awards and convertible debt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loss per share</w:t>
            </w: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6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89"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Diluted shares for fiscal 2025 excluded 0.3 million shares, fiscal 2024 excluded 0.2 million shares, and fiscal 2023 excluded 0.9 million shares due to the Company’s net loss for the periods.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(Loss) Per Share (Continued)</w:t>
      </w:r>
    </w:p>
    <w:p>
      <w:pPr>
        <w:spacing w:after="0" w:line="200" w:lineRule="exact"/>
        <w:rPr>
          <w:sz w:val="20"/>
          <w:szCs w:val="20"/>
          <w:color w:val="auto"/>
        </w:rPr>
      </w:pPr>
    </w:p>
    <w:p>
      <w:pPr>
        <w:spacing w:after="0" w:line="371"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The Company irrevocably elected to settle the principal amount of its 0.625% convertible senior notes due 2025 (the “2025 Notes”) in cash and any excess value in shares in the event of a conversion. In June 2023, the Company paid $535.0 million in cash and issued 0.9 million shares of common stock in connection with the conversions and redemptions of the 2025 Notes. Securities that were anti-dilutive were insignificant and were excluded from the computation of diluted earnings per share in all periods presented.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4"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at January 3, 2026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
        </w:trPr>
        <w:tc>
          <w:tcPr>
            <w:tcW w:w="6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55"/>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206,051</w:t>
            </w:r>
          </w:p>
        </w:tc>
      </w:tr>
      <w:tr>
        <w:trPr>
          <w:trHeight w:val="254"/>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Time deposit</w:t>
            </w: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211,646</w:t>
            </w:r>
          </w:p>
        </w:tc>
      </w:tr>
      <w:tr>
        <w:trPr>
          <w:trHeight w:val="273"/>
        </w:trPr>
        <w:tc>
          <w:tcPr>
            <w:tcW w:w="6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4"/>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73"/>
        </w:trPr>
        <w:tc>
          <w:tcPr>
            <w:tcW w:w="6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291,046</w:t>
            </w:r>
          </w:p>
        </w:tc>
      </w:tr>
      <w:tr>
        <w:trPr>
          <w:trHeight w:val="20"/>
        </w:trPr>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2"/>
        </w:trPr>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7"/>
        </w:trPr>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at December 28, 2024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1"/>
        </w:trPr>
        <w:tc>
          <w:tcPr>
            <w:tcW w:w="6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55"/>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7"/>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r>
      <w:tr>
        <w:trPr>
          <w:trHeight w:val="25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r>
      <w:tr>
        <w:trPr>
          <w:trHeight w:val="267"/>
        </w:trPr>
        <w:tc>
          <w:tcPr>
            <w:tcW w:w="63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4"/>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54"/>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r>
      <w:tr>
        <w:trPr>
          <w:trHeight w:val="273"/>
        </w:trPr>
        <w:tc>
          <w:tcPr>
            <w:tcW w:w="6380" w:type="dxa"/>
            <w:vAlign w:val="bottom"/>
            <w:gridSpan w:val="2"/>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r>
      <w:tr>
        <w:trPr>
          <w:trHeight w:val="20"/>
        </w:trPr>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methodology</w:t>
      </w:r>
    </w:p>
    <w:p>
      <w:pPr>
        <w:spacing w:after="0" w:line="222" w:lineRule="exact"/>
        <w:rPr>
          <w:sz w:val="20"/>
          <w:szCs w:val="20"/>
          <w:color w:val="auto"/>
        </w:rPr>
      </w:pPr>
    </w:p>
    <w:p>
      <w:pPr>
        <w:jc w:val="both"/>
        <w:ind w:right="60" w:firstLine="320"/>
        <w:spacing w:after="0" w:line="277" w:lineRule="auto"/>
        <w:rPr>
          <w:sz w:val="20"/>
          <w:szCs w:val="20"/>
          <w:color w:val="auto"/>
        </w:rPr>
      </w:pPr>
      <w:r>
        <w:rPr>
          <w:rFonts w:ascii="Times New Roman" w:cs="Times New Roman" w:eastAsia="Times New Roman" w:hAnsi="Times New Roman"/>
          <w:sz w:val="18"/>
          <w:szCs w:val="18"/>
          <w:color w:val="auto"/>
        </w:rPr>
        <w:t>The Company’s cash equivalents and short-term investments that are classified as Level 2 are valued using non-binding market consensus prices that are corroborated with observable market data; quoted market prices for similar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 (Continued)</w:t>
      </w:r>
    </w:p>
    <w:p>
      <w:pPr>
        <w:spacing w:after="0" w:line="200" w:lineRule="exact"/>
        <w:rPr>
          <w:sz w:val="20"/>
          <w:szCs w:val="20"/>
          <w:color w:val="auto"/>
        </w:rPr>
      </w:pPr>
    </w:p>
    <w:p>
      <w:pPr>
        <w:spacing w:after="0" w:line="371"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instruments in active markets; quoted prices in less active markets; or pricing models, such as a discounted cash flow model, with all significant inputs derived from or corroborated with observable market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components of available-for-sale investments: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Reported As</w:t>
            </w:r>
          </w:p>
        </w:tc>
      </w:tr>
      <w:tr>
        <w:trPr>
          <w:trHeight w:val="38"/>
        </w:trPr>
        <w:tc>
          <w:tcPr>
            <w:tcW w:w="3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9"/>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Marketable</w:t>
            </w:r>
          </w:p>
        </w:tc>
      </w:tr>
      <w:tr>
        <w:trPr>
          <w:trHeight w:val="20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3, 2026</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200" w:type="dxa"/>
            <w:vAlign w:val="bottom"/>
          </w:tcPr>
          <w:p>
            <w:pPr>
              <w:spacing w:after="0"/>
              <w:rPr>
                <w:sz w:val="17"/>
                <w:szCs w:val="17"/>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25"/>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5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290,794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79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291,046</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516"/>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Reported As</w:t>
            </w:r>
          </w:p>
        </w:tc>
      </w:tr>
      <w:tr>
        <w:trPr>
          <w:trHeight w:val="38"/>
        </w:trPr>
        <w:tc>
          <w:tcPr>
            <w:tcW w:w="3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7"/>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Marketable</w:t>
            </w:r>
          </w:p>
        </w:tc>
      </w:tr>
      <w:tr>
        <w:trPr>
          <w:trHeight w:val="202"/>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200" w:type="dxa"/>
            <w:vAlign w:val="bottom"/>
          </w:tcPr>
          <w:p>
            <w:pPr>
              <w:spacing w:after="0"/>
              <w:rPr>
                <w:sz w:val="17"/>
                <w:szCs w:val="17"/>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25"/>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center"/>
              <w:ind w:left="757"/>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r>
      <w:tr>
        <w:trPr>
          <w:trHeight w:val="25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maturities of investments</w:t>
      </w:r>
    </w:p>
    <w:p>
      <w:pPr>
        <w:spacing w:after="0" w:line="222" w:lineRule="exact"/>
        <w:rPr>
          <w:sz w:val="20"/>
          <w:szCs w:val="20"/>
          <w:color w:val="auto"/>
        </w:rPr>
      </w:pPr>
    </w:p>
    <w:p>
      <w:pPr>
        <w:jc w:val="both"/>
        <w:ind w:right="620" w:firstLine="320"/>
        <w:spacing w:after="0" w:line="262" w:lineRule="auto"/>
        <w:rPr>
          <w:sz w:val="20"/>
          <w:szCs w:val="20"/>
          <w:color w:val="auto"/>
        </w:rPr>
      </w:pPr>
      <w:r>
        <w:rPr>
          <w:rFonts w:ascii="Times New Roman" w:cs="Times New Roman" w:eastAsia="Times New Roman" w:hAnsi="Times New Roman"/>
          <w:sz w:val="18"/>
          <w:szCs w:val="18"/>
          <w:color w:val="auto"/>
        </w:rPr>
        <w:t>The Company’s available-for-sale investments are reported at fair value, with unrealized gains and losses, net of tax, recorded as a component of accumulated other comprehensive income in the Consolidated Balance Sheet. The following summarizes the contractual underlying maturities of the Company’s available-for-sale investments at January 3, 2026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80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
        </w:trPr>
        <w:tc>
          <w:tcPr>
            <w:tcW w:w="8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69,647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69,822</w:t>
            </w:r>
          </w:p>
        </w:tc>
      </w:tr>
      <w:tr>
        <w:trPr>
          <w:trHeight w:val="24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r>
      <w:tr>
        <w:trPr>
          <w:trHeight w:val="272"/>
        </w:trPr>
        <w:tc>
          <w:tcPr>
            <w:tcW w:w="80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Unrealized Gains and Losses</w:t>
      </w:r>
    </w:p>
    <w:p>
      <w:pPr>
        <w:spacing w:after="0" w:line="222"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16"/>
                <w:szCs w:val="16"/>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0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6"/>
                <w:szCs w:val="16"/>
                <w:color w:val="auto"/>
              </w:rPr>
            </w:pPr>
          </w:p>
        </w:tc>
      </w:tr>
      <w:tr>
        <w:trPr>
          <w:trHeight w:val="25"/>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5"/>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0"/>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8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3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5"/>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ind w:left="64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cente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2"/>
        </w:trPr>
        <w:tc>
          <w:tcPr>
            <w:tcW w:w="30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center"/>
              <w:ind w:left="620"/>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400" w:firstLine="320"/>
        <w:spacing w:after="0" w:line="277" w:lineRule="auto"/>
        <w:rPr>
          <w:sz w:val="20"/>
          <w:szCs w:val="20"/>
          <w:color w:val="auto"/>
        </w:rPr>
      </w:pPr>
      <w:r>
        <w:rPr>
          <w:rFonts w:ascii="Times New Roman" w:cs="Times New Roman" w:eastAsia="Times New Roman" w:hAnsi="Times New Roman"/>
          <w:sz w:val="18"/>
          <w:szCs w:val="18"/>
          <w:color w:val="auto"/>
        </w:rPr>
        <w:t>There were no gross unrealized losses as of January 3, 2026. The gross unrealized losses as of December 28, 2024 were due primarily to changes in market interest rates.</w:t>
      </w:r>
    </w:p>
    <w:p>
      <w:pPr>
        <w:spacing w:after="0" w:line="163"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January 3, 2026, there were no material declines in the market value of available-for-sale investments due to credit-related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2" w:lineRule="exact"/>
        <w:rPr>
          <w:sz w:val="20"/>
          <w:szCs w:val="20"/>
          <w:color w:val="auto"/>
        </w:rPr>
      </w:pPr>
    </w:p>
    <w:p>
      <w:pPr>
        <w:ind w:right="400" w:firstLine="320"/>
        <w:spacing w:after="0" w:line="277" w:lineRule="auto"/>
        <w:rPr>
          <w:sz w:val="20"/>
          <w:szCs w:val="20"/>
          <w:color w:val="auto"/>
        </w:rPr>
      </w:pPr>
      <w:r>
        <w:rPr>
          <w:rFonts w:ascii="Times New Roman" w:cs="Times New Roman" w:eastAsia="Times New Roman" w:hAnsi="Times New Roman"/>
          <w:sz w:val="18"/>
          <w:szCs w:val="18"/>
          <w:color w:val="auto"/>
        </w:rPr>
        <w:t>The fair value of the Company’s 2025 Notes was determined using observable market prices. The notes were traded in less active markets and were therefore classified as a Level 2 fair value measurement. No notes were outstanding as of January 3, 2026.</w:t>
      </w:r>
    </w:p>
    <w:p>
      <w:pPr>
        <w:spacing w:after="0" w:line="163" w:lineRule="exact"/>
        <w:rPr>
          <w:sz w:val="20"/>
          <w:szCs w:val="20"/>
          <w:color w:val="auto"/>
        </w:rPr>
      </w:pPr>
    </w:p>
    <w:p>
      <w:pPr>
        <w:ind w:right="260" w:firstLine="320"/>
        <w:spacing w:after="0" w:line="257"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 The Company’s foreign currency derivative instruments are valued using discounted cash flow models. The assumptions used in preparing the valuation models include foreign exchange rates, forward and spot prices for currencies and market observable data of similar instruments.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4" w:lineRule="exact"/>
        <w:rPr>
          <w:sz w:val="20"/>
          <w:szCs w:val="20"/>
          <w:color w:val="auto"/>
        </w:rPr>
      </w:pPr>
    </w:p>
    <w:p>
      <w:pPr>
        <w:jc w:val="both"/>
        <w:ind w:right="200" w:firstLine="320"/>
        <w:spacing w:after="0" w:line="262"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2" w:lineRule="exact"/>
        <w:rPr>
          <w:sz w:val="20"/>
          <w:szCs w:val="20"/>
          <w:color w:val="auto"/>
        </w:rPr>
      </w:pPr>
    </w:p>
    <w:p>
      <w:pPr>
        <w:ind w:right="100" w:firstLine="320"/>
        <w:spacing w:after="0" w:line="269" w:lineRule="auto"/>
        <w:rPr>
          <w:sz w:val="20"/>
          <w:szCs w:val="20"/>
          <w:color w:val="auto"/>
        </w:rPr>
      </w:pPr>
      <w:r>
        <w:rPr>
          <w:rFonts w:ascii="Times New Roman" w:cs="Times New Roman" w:eastAsia="Times New Roman" w:hAnsi="Times New Roman"/>
          <w:sz w:val="17"/>
          <w:szCs w:val="17"/>
          <w:color w:val="auto"/>
        </w:rPr>
        <w:t>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in the Consolidated Balance Sheet and subsequently reclassified into earnings in the period during which the hedged transaction is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Consolidated Statement of Operations based on an assessment of the contracts at the time of termination. As of January 3, 2026, the Company held no such foreign currency forward contracts. The fair value of the contracts, contract gains or losses recognized in other comprehensive income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 (Continued)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into earnings were not material for any of the periods presented.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show the details of selected Consolidated Balance Sheet items (in thousands):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20" w:type="dxa"/>
            <w:vAlign w:val="bottom"/>
            <w:tcBorders>
              <w:right w:val="single" w:sz="8" w:color="CCEEFF"/>
            </w:tcBorders>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8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20" w:type="dxa"/>
            <w:vAlign w:val="bottom"/>
            <w:tcBorders>
              <w:right w:val="single" w:sz="8" w:color="CCEEFF"/>
            </w:tcBorders>
          </w:tcPr>
          <w:p>
            <w:pPr>
              <w:spacing w:after="0"/>
              <w:rPr>
                <w:sz w:val="23"/>
                <w:szCs w:val="23"/>
                <w:color w:val="auto"/>
              </w:rPr>
            </w:pPr>
          </w:p>
        </w:tc>
        <w:tc>
          <w:tcPr>
            <w:tcW w:w="79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gridSpan w:val="2"/>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gridSpan w:val="3"/>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80" w:type="dxa"/>
            <w:vAlign w:val="bottom"/>
            <w:tcBorders>
              <w:left w:val="single" w:sz="8" w:color="CCEEFF"/>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20" w:type="dxa"/>
            <w:vAlign w:val="bottom"/>
            <w:tcBorders>
              <w:right w:val="single" w:sz="8" w:color="CCEEFF"/>
            </w:tcBorders>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131,098</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20" w:type="dxa"/>
            <w:vAlign w:val="bottom"/>
            <w:tcBorders>
              <w:right w:val="single" w:sz="8" w:color="CCEEFF"/>
            </w:tcBorders>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interest in ground leases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20" w:type="dxa"/>
            <w:vAlign w:val="bottom"/>
            <w:tcBorders>
              <w:right w:val="single" w:sz="8" w:color="CCEEFF"/>
            </w:tcBorders>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20" w:type="dxa"/>
            <w:vAlign w:val="bottom"/>
            <w:tcBorders>
              <w:right w:val="single" w:sz="8" w:color="CCEEFF"/>
            </w:tcBorders>
          </w:tcPr>
          <w:p>
            <w:pPr>
              <w:spacing w:after="0"/>
              <w:rPr>
                <w:sz w:val="22"/>
                <w:szCs w:val="22"/>
                <w:color w:val="auto"/>
              </w:rPr>
            </w:pPr>
          </w:p>
        </w:tc>
        <w:tc>
          <w:tcPr>
            <w:tcW w:w="79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304,558</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(188,166)</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20" w:type="dxa"/>
            <w:vAlign w:val="bottom"/>
            <w:tcBorders>
              <w:right w:val="single" w:sz="8" w:color="CCEEFF"/>
            </w:tcBorders>
          </w:tcPr>
          <w:p>
            <w:pPr>
              <w:spacing w:after="0"/>
              <w:rPr>
                <w:sz w:val="23"/>
                <w:szCs w:val="23"/>
                <w:color w:val="auto"/>
              </w:rPr>
            </w:pPr>
          </w:p>
        </w:tc>
        <w:tc>
          <w:tcPr>
            <w:tcW w:w="7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gridSpan w:val="2"/>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8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20" w:type="dxa"/>
            <w:vAlign w:val="bottom"/>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price protection credits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7980" w:type="dxa"/>
            <w:vAlign w:val="bottom"/>
            <w:tcBorders>
              <w:bottom w:val="single" w:sz="8" w:color="CCEEFF"/>
            </w:tcBorders>
          </w:tcPr>
          <w:p>
            <w:pPr>
              <w:spacing w:after="0" w:line="25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20" w:type="dxa"/>
            <w:vAlign w:val="bottom"/>
          </w:tcPr>
          <w:p>
            <w:pPr>
              <w:spacing w:after="0"/>
              <w:rPr>
                <w:sz w:val="22"/>
                <w:szCs w:val="22"/>
                <w:color w:val="auto"/>
              </w:rPr>
            </w:pPr>
          </w:p>
        </w:tc>
        <w:tc>
          <w:tcPr>
            <w:tcW w:w="79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87,711</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gridSpan w:val="4"/>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60" w:lineRule="exact"/>
        <w:rPr>
          <w:sz w:val="20"/>
          <w:szCs w:val="20"/>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threshold</w:t>
      </w:r>
    </w:p>
    <w:p>
      <w:pPr>
        <w:spacing w:after="0" w:line="39" w:lineRule="exact"/>
        <w:rPr>
          <w:sz w:val="20"/>
          <w:szCs w:val="20"/>
          <w:color w:val="auto"/>
        </w:rPr>
      </w:pPr>
    </w:p>
    <w:p>
      <w:pPr>
        <w:ind w:left="180" w:hanging="173"/>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current portion of operating lease liabilities is included in this amount. See discussion in Note 10 below.</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94" w:lineRule="exact"/>
        <w:rPr>
          <w:rFonts w:ascii="Times New Roman" w:cs="Times New Roman" w:eastAsia="Times New Roman" w:hAnsi="Times New Roman"/>
          <w:sz w:val="22"/>
          <w:szCs w:val="22"/>
          <w:color w:val="auto"/>
          <w:vertAlign w:val="superscript"/>
        </w:rPr>
      </w:pPr>
    </w:p>
    <w:p>
      <w:pPr>
        <w:ind w:left="54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Information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r>
      <w:tr>
        <w:trPr>
          <w:trHeight w:val="24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29,221</w:t>
            </w:r>
          </w:p>
        </w:tc>
      </w:tr>
      <w:tr>
        <w:trPr>
          <w:trHeight w:val="272"/>
        </w:trPr>
        <w:tc>
          <w:tcPr>
            <w:tcW w:w="8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Risks and Uncertainties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2"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equivalents, investments, accounts receivable and derivatives. The Company places its cash equivalents and investments primarily in money market funds, U.S. government securities, and time deposits. Concentrations of credit risk with respect to accounts receivable are primarily due to customers with large outstanding balances. The Company’s customers that accounted for greater than 10% of accounts receivable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18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908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4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40" w:type="dxa"/>
            <w:vAlign w:val="bottom"/>
          </w:tcPr>
          <w:p>
            <w:pPr>
              <w:spacing w:after="0"/>
              <w:rPr>
                <w:sz w:val="21"/>
                <w:szCs w:val="21"/>
                <w:color w:val="auto"/>
              </w:rPr>
            </w:pPr>
          </w:p>
        </w:tc>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60"/>
        </w:trPr>
        <w:tc>
          <w:tcPr>
            <w:tcW w:w="40" w:type="dxa"/>
            <w:vAlign w:val="bottom"/>
          </w:tcPr>
          <w:p>
            <w:pPr>
              <w:spacing w:after="0"/>
              <w:rPr>
                <w:sz w:val="22"/>
                <w:szCs w:val="22"/>
                <w:color w:val="auto"/>
              </w:rPr>
            </w:pPr>
          </w:p>
        </w:tc>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w:t>
            </w:r>
          </w:p>
        </w:tc>
      </w:tr>
      <w:tr>
        <w:trPr>
          <w:trHeight w:val="29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7"/>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Less than 10% of accounts receivable</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194" w:lineRule="exact"/>
        <w:rPr>
          <w:sz w:val="20"/>
          <w:szCs w:val="20"/>
          <w:color w:val="auto"/>
        </w:rPr>
      </w:pPr>
    </w:p>
    <w:p>
      <w:pPr>
        <w:jc w:val="both"/>
        <w:ind w:right="300" w:firstLine="320"/>
        <w:spacing w:after="0" w:line="262" w:lineRule="auto"/>
        <w:rPr>
          <w:sz w:val="20"/>
          <w:szCs w:val="20"/>
          <w:color w:val="auto"/>
        </w:rPr>
      </w:pPr>
      <w:r>
        <w:rPr>
          <w:rFonts w:ascii="Times New Roman" w:cs="Times New Roman" w:eastAsia="Times New Roman" w:hAnsi="Times New Roman"/>
          <w:sz w:val="18"/>
          <w:szCs w:val="18"/>
          <w:color w:val="auto"/>
        </w:rPr>
        <w:t>The Company performs periodic credit evaluations of its customers’ financial condition and generally requires no collateral from its customers. The Company provides an allowance for expected credit losses based upon the net amount expected to be collected on such receivables. Losses have not been significant for any of the periods presented.</w:t>
      </w:r>
    </w:p>
    <w:p>
      <w:pPr>
        <w:spacing w:after="0" w:line="176" w:lineRule="exact"/>
        <w:rPr>
          <w:sz w:val="20"/>
          <w:szCs w:val="20"/>
          <w:color w:val="auto"/>
        </w:rPr>
      </w:pPr>
    </w:p>
    <w:p>
      <w:pPr>
        <w:ind w:right="200" w:firstLine="320"/>
        <w:spacing w:after="0" w:line="262" w:lineRule="auto"/>
        <w:rPr>
          <w:sz w:val="20"/>
          <w:szCs w:val="20"/>
          <w:color w:val="auto"/>
        </w:rPr>
      </w:pPr>
      <w:r>
        <w:rPr>
          <w:rFonts w:ascii="Times New Roman" w:cs="Times New Roman" w:eastAsia="Times New Roman" w:hAnsi="Times New Roman"/>
          <w:sz w:val="18"/>
          <w:szCs w:val="18"/>
          <w:color w:val="auto"/>
        </w:rPr>
        <w:t>As a result of its use of derivative instruments, the Company is exposed to the risk that its counterparties will fail to meet their contractual obligations. To mitigate this counterparty credit risk, the Company has a policy to enter into contracts with only selected major financial institutions. The Company periodically reviews and re-assesses the creditworthiness of such counterparties based on a variety of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 Advances</w:t>
      </w:r>
    </w:p>
    <w:p>
      <w:pPr>
        <w:spacing w:after="0" w:line="222" w:lineRule="exact"/>
        <w:rPr>
          <w:sz w:val="20"/>
          <w:szCs w:val="20"/>
          <w:color w:val="auto"/>
        </w:rPr>
      </w:pPr>
    </w:p>
    <w:p>
      <w:pPr>
        <w:ind w:right="60" w:firstLine="320"/>
        <w:spacing w:after="0" w:line="250" w:lineRule="auto"/>
        <w:rPr>
          <w:sz w:val="20"/>
          <w:szCs w:val="20"/>
          <w:color w:val="auto"/>
        </w:rPr>
      </w:pPr>
      <w:r>
        <w:rPr>
          <w:rFonts w:ascii="Times New Roman" w:cs="Times New Roman" w:eastAsia="Times New Roman" w:hAnsi="Times New Roman"/>
          <w:sz w:val="18"/>
          <w:szCs w:val="18"/>
          <w:color w:val="auto"/>
        </w:rPr>
        <w:t>On sales to distributors, the Company’s payment terms often require the distributor to initially pay amounts owed to the Company for an amount in excess of their ultimate cost. The Company’s sales price to its distributors may be higher than the amount that the distributors will ultimately owe the Company because distributors often negotiate price reductions after purchasing the product from the Company and such reductions are often significant. These negotiated price discounts are not granted until the distributor sells the product to the end customer, which may occur after the distributor has paid the original invoice amount to the Company. Payment of invoices prior to receiving an associated discount can have an adverse impact on the working capital of the Company’s distributors. Accordingly, the Company has entered into agreements with certain distributors whereby it advances cash to the distributors to reduce the distributor’s working capital requirements. The advance amounts are based on the distributor’s inventory balance and are adjusted quarterly. Such amounts are recorded in prepaid expenses and other current assets in the Consolidated Balance Sheet. The terms of these advances are set forth in binding legal agreements and are unsecured, bear no interest on unsettled balances and are due upon demand. The agreements governing these advances can be cancelled by the Company at any time.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Risks and Uncertainties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2" w:lineRule="exact"/>
        <w:rPr>
          <w:sz w:val="20"/>
          <w:szCs w:val="20"/>
          <w:color w:val="auto"/>
        </w:rPr>
      </w:pPr>
    </w:p>
    <w:p>
      <w:pPr>
        <w:ind w:right="380" w:firstLine="320"/>
        <w:spacing w:after="0" w:line="257" w:lineRule="auto"/>
        <w:rPr>
          <w:sz w:val="20"/>
          <w:szCs w:val="20"/>
          <w:color w:val="auto"/>
        </w:rPr>
      </w:pPr>
      <w:r>
        <w:rPr>
          <w:rFonts w:ascii="Times New Roman" w:cs="Times New Roman" w:eastAsia="Times New Roman" w:hAnsi="Times New Roman"/>
          <w:sz w:val="18"/>
          <w:szCs w:val="18"/>
          <w:color w:val="auto"/>
        </w:rPr>
        <w:t>A significant portion of the Company’s products are fabricated by Taiwan Semiconductor Manufacturing Co. (“TSMC”) or Semiconductor Manufacturing International Corporation (“SMIC”). The inability of TSMC or SMIC to deliver wafers to the Company on a timely basis could impact the production of the Company’s products for a substantial period of time, which could have a material adverse effect on the Company’s business, financial condition, results of operations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2"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The Company sells directly to end customers, distributors and contract manufacturers. Although the Company actually sells the products to, and is paid by, distributors and contract manufacturers, the Company refers to the end customer as its customer. None of the Company’s end customers accounted for greater than 10% of revenue during fiscal 2025, 2024 or 2023. The Company’s distributors that accounted for greater than 10% of revenue consisted of the following:</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spacing w:after="0"/>
              <w:rPr>
                <w:sz w:val="16"/>
                <w:szCs w:val="16"/>
                <w:color w:val="auto"/>
              </w:rPr>
            </w:pPr>
          </w:p>
        </w:tc>
      </w:tr>
      <w:tr>
        <w:trPr>
          <w:trHeight w:val="25"/>
        </w:trPr>
        <w:tc>
          <w:tcPr>
            <w:tcW w:w="6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55"/>
        </w:trPr>
        <w:tc>
          <w:tcPr>
            <w:tcW w:w="6220" w:type="dxa"/>
            <w:vAlign w:val="bottom"/>
          </w:tcPr>
          <w:p>
            <w:pPr>
              <w:spacing w:after="0"/>
              <w:rPr>
                <w:sz w:val="13"/>
                <w:szCs w:val="13"/>
                <w:color w:val="auto"/>
              </w:rPr>
            </w:pPr>
          </w:p>
        </w:tc>
        <w:tc>
          <w:tcPr>
            <w:tcW w:w="1140" w:type="dxa"/>
            <w:vAlign w:val="bottom"/>
          </w:tcPr>
          <w:p>
            <w:pPr>
              <w:jc w:val="center"/>
              <w:ind w:left="369"/>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40" w:type="dxa"/>
            <w:vAlign w:val="bottom"/>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73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7"/>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 Electronics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1"/>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Edom Technology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 Assets, Net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other intangible assets, net are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00" w:type="dxa"/>
            <w:vAlign w:val="bottom"/>
          </w:tcPr>
          <w:p>
            <w:pPr>
              <w:spacing w:after="0"/>
              <w:rPr>
                <w:sz w:val="13"/>
                <w:szCs w:val="13"/>
                <w:color w:val="auto"/>
              </w:rPr>
            </w:pPr>
          </w:p>
        </w:tc>
        <w:tc>
          <w:tcPr>
            <w:tcW w:w="2740" w:type="dxa"/>
            <w:vAlign w:val="bottom"/>
            <w:gridSpan w:val="4"/>
            <w:vMerge w:val="restart"/>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4"/>
            <w:vMerge w:val="restart"/>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126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(153,488)</w:t>
            </w:r>
          </w:p>
        </w:tc>
        <w:tc>
          <w:tcPr>
            <w:tcW w:w="0" w:type="dxa"/>
            <w:vAlign w:val="bottom"/>
          </w:tcPr>
          <w:p>
            <w:pPr>
              <w:spacing w:after="0"/>
              <w:rPr>
                <w:sz w:val="1"/>
                <w:szCs w:val="1"/>
                <w:color w:val="auto"/>
              </w:rPr>
            </w:pPr>
          </w:p>
        </w:tc>
      </w:tr>
      <w:tr>
        <w:trPr>
          <w:trHeight w:val="247"/>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details of intangible asset amortization expense recognized in the Consolidated Statements of Operations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2"/>
        </w:trPr>
        <w:tc>
          <w:tcPr>
            <w:tcW w:w="65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 Assets, Net (Continued)</w:t>
      </w:r>
    </w:p>
    <w:p>
      <w:pPr>
        <w:spacing w:after="0" w:line="357"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The estimated aggregate amortization expense for intangible assets subject to amortization for each of the five succeeding fiscal years is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9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7"/>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4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6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4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6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2"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w:t>
      </w:r>
    </w:p>
    <w:p>
      <w:pPr>
        <w:spacing w:after="0" w:line="186"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w:t>
      </w:r>
    </w:p>
    <w:p>
      <w:pPr>
        <w:spacing w:after="0" w:line="186" w:lineRule="exact"/>
        <w:rPr>
          <w:sz w:val="20"/>
          <w:szCs w:val="20"/>
          <w:color w:val="auto"/>
        </w:rPr>
      </w:pPr>
    </w:p>
    <w:p>
      <w:pPr>
        <w:jc w:val="both"/>
        <w:ind w:right="160" w:firstLine="320"/>
        <w:spacing w:after="0" w:line="257" w:lineRule="auto"/>
        <w:rPr>
          <w:sz w:val="20"/>
          <w:szCs w:val="20"/>
          <w:color w:val="auto"/>
        </w:rPr>
      </w:pPr>
      <w:r>
        <w:rPr>
          <w:rFonts w:ascii="Times New Roman" w:cs="Times New Roman" w:eastAsia="Times New Roman" w:hAnsi="Times New Roman"/>
          <w:sz w:val="18"/>
          <w:szCs w:val="18"/>
          <w:color w:val="auto"/>
        </w:rPr>
        <w:t>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w:t>
      </w:r>
    </w:p>
    <w:p>
      <w:pPr>
        <w:spacing w:after="0" w:line="181"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Company was granted a waiver of compliance for the minimum interest coverage ratio through October 4, 2025. As of January 3, 2026, the Company was in compliance with the minimum interest coverage ratio. The Company’s obligations under the credit facility are guaranteed by the Guarantors and are secured by a security interest in substantially all assets of the Company and the Guarantors. As of January 3, 2026, no amounts were outstanding on the credit facility.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4"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The Company leases certain facilities under operating lease agreements that expire at various dates through 2031. Some of these arrangements contain renewal options and require the Company to pay taxes, insurance and maintenance costs. Lease costs for operating leases were $7.6 million, $7.7 million and $7.8 million during fiscal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ind w:right="8720" w:firstLine="7"/>
        <w:spacing w:after="0" w:line="637" w:lineRule="auto"/>
        <w:tabs>
          <w:tab w:leader="none" w:pos="267"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(Continued) </w:t>
      </w:r>
      <w:r>
        <w:rPr>
          <w:rFonts w:ascii="Times New Roman" w:cs="Times New Roman" w:eastAsia="Times New Roman" w:hAnsi="Times New Roman"/>
          <w:sz w:val="17"/>
          <w:szCs w:val="17"/>
          <w:b w:val="1"/>
          <w:bCs w:val="1"/>
          <w:u w:val="single" w:color="auto"/>
          <w:color w:val="auto"/>
        </w:rPr>
        <w:t>Supplemental Lease Information</w:t>
      </w:r>
    </w:p>
    <w:p>
      <w:pPr>
        <w:spacing w:after="0" w:line="1" w:lineRule="exact"/>
        <w:rPr>
          <w:sz w:val="20"/>
          <w:szCs w:val="20"/>
          <w:color w:val="auto"/>
        </w:rPr>
      </w:pPr>
    </w:p>
    <w:p>
      <w:pPr>
        <w:jc w:val="right"/>
        <w:ind w:right="320"/>
        <w:spacing w:after="0"/>
        <w:tabs>
          <w:tab w:leader="none" w:pos="2300" w:val="left"/>
          <w:tab w:leader="none" w:pos="820" w:val="left"/>
        </w:tabs>
        <w:rPr>
          <w:sz w:val="20"/>
          <w:szCs w:val="20"/>
          <w:color w:val="auto"/>
        </w:rPr>
      </w:pPr>
      <w:r>
        <w:rPr>
          <w:rFonts w:ascii="Times New Roman" w:cs="Times New Roman" w:eastAsia="Times New Roman" w:hAnsi="Times New Roman"/>
          <w:sz w:val="14"/>
          <w:szCs w:val="14"/>
          <w:b w:val="1"/>
          <w:bCs w:val="1"/>
          <w:color w:val="auto"/>
        </w:rPr>
        <w:t>Consolidated Balance</w:t>
      </w:r>
      <w:r>
        <w:rPr>
          <w:sz w:val="20"/>
          <w:szCs w:val="20"/>
          <w:color w:val="auto"/>
        </w:rPr>
        <w:tab/>
      </w:r>
      <w:r>
        <w:rPr>
          <w:rFonts w:ascii="Times New Roman" w:cs="Times New Roman" w:eastAsia="Times New Roman" w:hAnsi="Times New Roman"/>
          <w:sz w:val="14"/>
          <w:szCs w:val="14"/>
          <w:b w:val="1"/>
          <w:bCs w:val="1"/>
          <w:color w:val="auto"/>
        </w:rPr>
        <w:t>January 3,</w:t>
      </w:r>
      <w:r>
        <w:rPr>
          <w:sz w:val="20"/>
          <w:szCs w:val="20"/>
          <w:color w:val="auto"/>
        </w:rPr>
        <w:tab/>
      </w:r>
      <w:r>
        <w:rPr>
          <w:rFonts w:ascii="Times New Roman" w:cs="Times New Roman" w:eastAsia="Times New Roman" w:hAnsi="Times New Roman"/>
          <w:sz w:val="14"/>
          <w:szCs w:val="14"/>
          <w:b w:val="1"/>
          <w:bCs w:val="1"/>
          <w:color w:val="auto"/>
        </w:rPr>
        <w:t>December 28,</w:t>
      </w:r>
    </w:p>
    <w:p>
      <w:pPr>
        <w:spacing w:after="0" w:line="17" w:lineRule="exact"/>
        <w:rPr>
          <w:sz w:val="20"/>
          <w:szCs w:val="20"/>
          <w:color w:val="auto"/>
        </w:rPr>
      </w:pPr>
    </w:p>
    <w:p>
      <w:pPr>
        <w:ind w:left="40"/>
        <w:spacing w:after="0"/>
        <w:tabs>
          <w:tab w:leader="none" w:pos="6020" w:val="left"/>
          <w:tab w:leader="none" w:pos="8740" w:val="left"/>
          <w:tab w:leader="none" w:pos="10320" w:val="left"/>
        </w:tabs>
        <w:rPr>
          <w:sz w:val="20"/>
          <w:szCs w:val="20"/>
          <w:color w:val="auto"/>
        </w:rPr>
      </w:pPr>
      <w:r>
        <w:rPr>
          <w:rFonts w:ascii="Times New Roman" w:cs="Times New Roman" w:eastAsia="Times New Roman" w:hAnsi="Times New Roman"/>
          <w:sz w:val="14"/>
          <w:szCs w:val="14"/>
          <w:b w:val="1"/>
          <w:bCs w:val="1"/>
          <w:color w:val="auto"/>
        </w:rPr>
        <w:t>Balance Sheet Information (in thousands)</w:t>
      </w:r>
      <w:r>
        <w:rPr>
          <w:sz w:val="20"/>
          <w:szCs w:val="20"/>
          <w:color w:val="auto"/>
        </w:rPr>
        <w:tab/>
      </w:r>
      <w:r>
        <w:rPr>
          <w:rFonts w:ascii="Times New Roman" w:cs="Times New Roman" w:eastAsia="Times New Roman" w:hAnsi="Times New Roman"/>
          <w:sz w:val="14"/>
          <w:szCs w:val="14"/>
          <w:b w:val="1"/>
          <w:bCs w:val="1"/>
          <w:color w:val="auto"/>
        </w:rPr>
        <w:t>Sheet Classification</w:t>
      </w:r>
      <w:r>
        <w:rPr>
          <w:sz w:val="20"/>
          <w:szCs w:val="20"/>
          <w:color w:val="auto"/>
        </w:rPr>
        <w:tab/>
      </w: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20320</wp:posOffset>
            </wp:positionV>
            <wp:extent cx="7108190" cy="169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08190" cy="169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 Information (in thousands)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21,535</w:t>
            </w:r>
          </w:p>
        </w:tc>
      </w:tr>
      <w:tr>
        <w:trPr>
          <w:trHeight w:val="25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5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-152400</wp:posOffset>
            </wp:positionV>
            <wp:extent cx="7108190" cy="161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08190" cy="161290"/>
                    </a:xfrm>
                    <a:prstGeom prst="rect">
                      <a:avLst/>
                    </a:prstGeom>
                    <a:noFill/>
                  </pic:spPr>
                </pic:pic>
              </a:graphicData>
            </a:graphic>
          </wp:anchor>
        </w:drawing>
      </w:r>
    </w:p>
    <w:p>
      <w:pPr>
        <w:spacing w:after="0" w:line="328" w:lineRule="exact"/>
        <w:rPr>
          <w:sz w:val="20"/>
          <w:szCs w:val="20"/>
          <w:color w:val="auto"/>
        </w:rPr>
      </w:pPr>
    </w:p>
    <w:tbl>
      <w:tblPr>
        <w:tblLayout w:type="fixed"/>
        <w:tblInd w:w="298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5"/>
        </w:trPr>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55"/>
        </w:trPr>
        <w:tc>
          <w:tcPr>
            <w:tcW w:w="1100" w:type="dxa"/>
            <w:vAlign w:val="bottom"/>
          </w:tcPr>
          <w:p>
            <w:pPr>
              <w:jc w:val="center"/>
              <w:ind w:left="289"/>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940" w:type="dxa"/>
            <w:vAlign w:val="bottom"/>
          </w:tcPr>
          <w:p>
            <w:pPr>
              <w:jc w:val="center"/>
              <w:ind w:left="389"/>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5" w:lineRule="exact"/>
        <w:rPr>
          <w:sz w:val="20"/>
          <w:szCs w:val="20"/>
          <w:color w:val="auto"/>
        </w:rPr>
      </w:pPr>
    </w:p>
    <w:p>
      <w:pPr>
        <w:sectPr>
          <w:pgSz w:w="11900" w:h="16838" w:orient="portrait"/>
          <w:cols w:equalWidth="0" w:num="2">
            <w:col w:w="4480" w:space="720"/>
            <w:col w:w="602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67"/>
        </w:trPr>
        <w:tc>
          <w:tcPr>
            <w:tcW w:w="80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80" w:type="dxa"/>
            <w:vAlign w:val="bottom"/>
            <w:tcBorders>
              <w:top w:val="single" w:sz="8" w:color="auto"/>
            </w:tcBorders>
            <w:gridSpan w:val="2"/>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40" w:type="dxa"/>
            <w:vAlign w:val="bottom"/>
            <w:tcBorders>
              <w:top w:val="single" w:sz="8" w:color="auto"/>
            </w:tcBorders>
            <w:shd w:val="clear" w:color="auto" w:fill="CCEEFF"/>
          </w:tcPr>
          <w:p>
            <w:pPr>
              <w:spacing w:after="0"/>
              <w:rPr>
                <w:sz w:val="23"/>
                <w:szCs w:val="23"/>
                <w:color w:val="auto"/>
              </w:rPr>
            </w:pPr>
          </w:p>
        </w:tc>
      </w:tr>
      <w:tr>
        <w:trPr>
          <w:trHeight w:val="241"/>
        </w:trPr>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40" w:type="dxa"/>
            <w:vAlign w:val="bottom"/>
          </w:tcPr>
          <w:p>
            <w:pPr>
              <w:spacing w:after="0"/>
              <w:rPr>
                <w:sz w:val="20"/>
                <w:szCs w:val="20"/>
                <w:color w:val="auto"/>
              </w:rPr>
            </w:pPr>
          </w:p>
        </w:tc>
      </w:tr>
      <w:tr>
        <w:trPr>
          <w:trHeight w:val="495"/>
        </w:trPr>
        <w:tc>
          <w:tcPr>
            <w:tcW w:w="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8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 Lease Information</w:t>
            </w:r>
          </w:p>
        </w:tc>
        <w:tc>
          <w:tcPr>
            <w:tcW w:w="160" w:type="dxa"/>
            <w:vAlign w:val="bottom"/>
          </w:tcPr>
          <w:p>
            <w:pPr>
              <w:spacing w:after="0"/>
              <w:rPr>
                <w:sz w:val="16"/>
                <w:szCs w:val="16"/>
                <w:color w:val="auto"/>
              </w:rPr>
            </w:pPr>
          </w:p>
        </w:tc>
        <w:tc>
          <w:tcPr>
            <w:tcW w:w="11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7"/>
        </w:trPr>
        <w:tc>
          <w:tcPr>
            <w:tcW w:w="8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 years</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 years</w:t>
            </w:r>
          </w:p>
        </w:tc>
      </w:tr>
      <w:tr>
        <w:trPr>
          <w:trHeight w:val="241"/>
        </w:trPr>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4.87 %</w:t>
            </w:r>
          </w:p>
        </w:tc>
      </w:tr>
      <w:tr>
        <w:trPr>
          <w:trHeight w:val="534"/>
        </w:trPr>
        <w:tc>
          <w:tcPr>
            <w:tcW w:w="40" w:type="dxa"/>
            <w:vAlign w:val="bottom"/>
          </w:tcPr>
          <w:p>
            <w:pPr>
              <w:spacing w:after="0"/>
              <w:rPr>
                <w:sz w:val="24"/>
                <w:szCs w:val="24"/>
                <w:color w:val="auto"/>
              </w:rPr>
            </w:pPr>
          </w:p>
        </w:tc>
        <w:tc>
          <w:tcPr>
            <w:tcW w:w="81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maturities of operating lease liabilities as of January 3, 2026 were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40" w:type="dxa"/>
            <w:vAlign w:val="bottom"/>
          </w:tcPr>
          <w:p>
            <w:pPr>
              <w:spacing w:after="0"/>
              <w:rPr>
                <w:sz w:val="24"/>
                <w:szCs w:val="24"/>
                <w:color w:val="auto"/>
              </w:rPr>
            </w:pP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7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40" w:type="dxa"/>
            <w:vAlign w:val="bottom"/>
          </w:tcPr>
          <w:p>
            <w:pPr>
              <w:spacing w:after="0"/>
              <w:rPr>
                <w:sz w:val="21"/>
                <w:szCs w:val="21"/>
                <w:color w:val="auto"/>
              </w:rPr>
            </w:pPr>
          </w:p>
        </w:tc>
      </w:tr>
      <w:tr>
        <w:trPr>
          <w:trHeight w:val="247"/>
        </w:trPr>
        <w:tc>
          <w:tcPr>
            <w:tcW w:w="7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40" w:type="dxa"/>
            <w:vAlign w:val="bottom"/>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40" w:type="dxa"/>
            <w:vAlign w:val="bottom"/>
          </w:tcPr>
          <w:p>
            <w:pPr>
              <w:spacing w:after="0"/>
              <w:rPr>
                <w:sz w:val="22"/>
                <w:szCs w:val="22"/>
                <w:color w:val="auto"/>
              </w:rPr>
            </w:pPr>
          </w:p>
        </w:tc>
      </w:tr>
      <w:tr>
        <w:trPr>
          <w:trHeight w:val="247"/>
        </w:trPr>
        <w:tc>
          <w:tcPr>
            <w:tcW w:w="7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40" w:type="dxa"/>
            <w:vAlign w:val="bottom"/>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40" w:type="dxa"/>
            <w:vAlign w:val="bottom"/>
          </w:tcPr>
          <w:p>
            <w:pPr>
              <w:spacing w:after="0"/>
              <w:rPr>
                <w:sz w:val="22"/>
                <w:szCs w:val="22"/>
                <w:color w:val="auto"/>
              </w:rPr>
            </w:pPr>
          </w:p>
        </w:tc>
      </w:tr>
      <w:tr>
        <w:trPr>
          <w:trHeight w:val="247"/>
        </w:trPr>
        <w:tc>
          <w:tcPr>
            <w:tcW w:w="40" w:type="dxa"/>
            <w:vAlign w:val="bottom"/>
          </w:tcPr>
          <w:p>
            <w:pPr>
              <w:spacing w:after="0"/>
              <w:rPr>
                <w:sz w:val="21"/>
                <w:szCs w:val="21"/>
                <w:color w:val="auto"/>
              </w:rPr>
            </w:pPr>
          </w:p>
        </w:tc>
        <w:tc>
          <w:tcPr>
            <w:tcW w:w="8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40" w:type="dxa"/>
            <w:vAlign w:val="bottom"/>
          </w:tcPr>
          <w:p>
            <w:pPr>
              <w:spacing w:after="0"/>
              <w:rPr>
                <w:sz w:val="21"/>
                <w:szCs w:val="21"/>
                <w:color w:val="auto"/>
              </w:rPr>
            </w:pPr>
          </w:p>
        </w:tc>
      </w:tr>
      <w:tr>
        <w:trPr>
          <w:trHeight w:val="253"/>
        </w:trPr>
        <w:tc>
          <w:tcPr>
            <w:tcW w:w="40" w:type="dxa"/>
            <w:vAlign w:val="bottom"/>
          </w:tcPr>
          <w:p>
            <w:pPr>
              <w:spacing w:after="0"/>
              <w:rPr>
                <w:sz w:val="22"/>
                <w:szCs w:val="22"/>
                <w:color w:val="auto"/>
              </w:rPr>
            </w:pPr>
          </w:p>
        </w:tc>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32,729</w:t>
            </w:r>
          </w:p>
        </w:tc>
        <w:tc>
          <w:tcPr>
            <w:tcW w:w="40" w:type="dxa"/>
            <w:vAlign w:val="bottom"/>
          </w:tcPr>
          <w:p>
            <w:pPr>
              <w:spacing w:after="0"/>
              <w:rPr>
                <w:sz w:val="22"/>
                <w:szCs w:val="22"/>
                <w:color w:val="auto"/>
              </w:rPr>
            </w:pPr>
          </w:p>
        </w:tc>
      </w:tr>
      <w:tr>
        <w:trPr>
          <w:trHeight w:val="247"/>
        </w:trPr>
        <w:tc>
          <w:tcPr>
            <w:tcW w:w="40" w:type="dxa"/>
            <w:vAlign w:val="bottom"/>
          </w:tcPr>
          <w:p>
            <w:pPr>
              <w:spacing w:after="0"/>
              <w:rPr>
                <w:sz w:val="21"/>
                <w:szCs w:val="21"/>
                <w:color w:val="auto"/>
              </w:rPr>
            </w:pPr>
          </w:p>
        </w:tc>
        <w:tc>
          <w:tcPr>
            <w:tcW w:w="8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40" w:type="dxa"/>
            <w:vAlign w:val="bottom"/>
          </w:tcPr>
          <w:p>
            <w:pPr>
              <w:spacing w:after="0"/>
              <w:rPr>
                <w:sz w:val="21"/>
                <w:szCs w:val="21"/>
                <w:color w:val="auto"/>
              </w:rPr>
            </w:pPr>
          </w:p>
        </w:tc>
      </w:tr>
      <w:tr>
        <w:trPr>
          <w:trHeight w:val="278"/>
        </w:trPr>
        <w:tc>
          <w:tcPr>
            <w:tcW w:w="40" w:type="dxa"/>
            <w:vAlign w:val="bottom"/>
          </w:tcPr>
          <w:p>
            <w:pPr>
              <w:spacing w:after="0"/>
              <w:rPr>
                <w:sz w:val="23"/>
                <w:szCs w:val="23"/>
                <w:color w:val="auto"/>
              </w:rPr>
            </w:pPr>
          </w:p>
        </w:tc>
        <w:tc>
          <w:tcPr>
            <w:tcW w:w="8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4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income</w:t>
      </w:r>
    </w:p>
    <w:p>
      <w:pPr>
        <w:spacing w:after="0" w:line="222" w:lineRule="exact"/>
        <w:rPr>
          <w:sz w:val="20"/>
          <w:szCs w:val="20"/>
          <w:color w:val="auto"/>
        </w:rPr>
      </w:pPr>
    </w:p>
    <w:p>
      <w:pPr>
        <w:ind w:right="140" w:firstLine="320"/>
        <w:spacing w:after="0" w:line="277" w:lineRule="auto"/>
        <w:rPr>
          <w:sz w:val="20"/>
          <w:szCs w:val="20"/>
          <w:color w:val="auto"/>
        </w:rPr>
      </w:pPr>
      <w:r>
        <w:rPr>
          <w:rFonts w:ascii="Times New Roman" w:cs="Times New Roman" w:eastAsia="Times New Roman" w:hAnsi="Times New Roman"/>
          <w:sz w:val="18"/>
          <w:szCs w:val="18"/>
          <w:color w:val="auto"/>
        </w:rPr>
        <w:t>The Company leases a portion of its headquarter facilities to other tenants. Lease income from operating leases was $2.2 million, $2.8 million and $3.1 million during fiscal 2025, 2024 and 2023, respectively.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Maturities of lease income as of January 3, 2026 were as follows (in thousands):</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9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7"/>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47"/>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6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47"/>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6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2" w:lineRule="exact"/>
        <w:rPr>
          <w:sz w:val="20"/>
          <w:szCs w:val="20"/>
          <w:color w:val="auto"/>
        </w:rPr>
      </w:pPr>
    </w:p>
    <w:p>
      <w:pPr>
        <w:ind w:right="140" w:firstLine="320"/>
        <w:spacing w:after="0" w:line="277" w:lineRule="auto"/>
        <w:rPr>
          <w:sz w:val="20"/>
          <w:szCs w:val="20"/>
          <w:color w:val="auto"/>
        </w:rPr>
      </w:pPr>
      <w:r>
        <w:rPr>
          <w:rFonts w:ascii="Times New Roman" w:cs="Times New Roman" w:eastAsia="Times New Roman" w:hAnsi="Times New Roman"/>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Repurchases</w:t>
      </w:r>
    </w:p>
    <w:p>
      <w:pPr>
        <w:spacing w:after="0" w:line="224"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The Company repurchased 1.5 million shares of its common stock for $213.0 million during fiscal 2023. There were no share repurchases in fiscal 2025 or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224" w:lineRule="exact"/>
        <w:rPr>
          <w:sz w:val="20"/>
          <w:szCs w:val="20"/>
          <w:color w:val="auto"/>
        </w:rPr>
      </w:pPr>
    </w:p>
    <w:p>
      <w:pPr>
        <w:ind w:right="480" w:firstLine="320"/>
        <w:spacing w:after="0" w:line="277" w:lineRule="auto"/>
        <w:rPr>
          <w:sz w:val="20"/>
          <w:szCs w:val="20"/>
          <w:color w:val="auto"/>
        </w:rPr>
      </w:pPr>
      <w:r>
        <w:rPr>
          <w:rFonts w:ascii="Times New Roman" w:cs="Times New Roman" w:eastAsia="Times New Roman" w:hAnsi="Times New Roman"/>
          <w:sz w:val="18"/>
          <w:szCs w:val="18"/>
          <w:color w:val="auto"/>
        </w:rPr>
        <w:t>The Company groups its products as Industrial &amp; Commercial or Home &amp; Life based on the target markets they address. The following represents revenue by product category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&amp;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496,578</w:t>
            </w:r>
          </w:p>
        </w:tc>
      </w:tr>
      <w:tr>
        <w:trPr>
          <w:trHeight w:val="247"/>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Home &amp; Life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285,680</w:t>
            </w:r>
          </w:p>
        </w:tc>
      </w:tr>
      <w:tr>
        <w:trPr>
          <w:trHeight w:val="272"/>
        </w:trPr>
        <w:tc>
          <w:tcPr>
            <w:tcW w:w="65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60" w:firstLine="320"/>
        <w:spacing w:after="0" w:line="257" w:lineRule="auto"/>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and/or price protection related to the final selling price to the end customers. These factors impact the timing and uncertainty of revenues and cash flows. During fiscal 2025, 2024, and 2023, the impact of revenue related to performance obligations that were satisfied in previous reporting periods was insignificant. The following disaggregates the Company’s revenue by sales channel (in thousands):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611,332</w:t>
            </w:r>
          </w:p>
        </w:tc>
      </w:tr>
      <w:tr>
        <w:trPr>
          <w:trHeight w:val="24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170,926</w:t>
            </w:r>
          </w:p>
        </w:tc>
      </w:tr>
      <w:tr>
        <w:trPr>
          <w:trHeight w:val="272"/>
        </w:trPr>
        <w:tc>
          <w:tcPr>
            <w:tcW w:w="6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4" w:lineRule="exact"/>
        <w:rPr>
          <w:sz w:val="20"/>
          <w:szCs w:val="20"/>
          <w:color w:val="auto"/>
        </w:rPr>
      </w:pPr>
    </w:p>
    <w:p>
      <w:pPr>
        <w:ind w:right="440" w:firstLine="320"/>
        <w:spacing w:after="0" w:line="277" w:lineRule="auto"/>
        <w:rPr>
          <w:sz w:val="20"/>
          <w:szCs w:val="20"/>
          <w:color w:val="auto"/>
        </w:rPr>
      </w:pPr>
      <w:r>
        <w:rPr>
          <w:rFonts w:ascii="Times New Roman" w:cs="Times New Roman" w:eastAsia="Times New Roman" w:hAnsi="Times New Roman"/>
          <w:sz w:val="18"/>
          <w:szCs w:val="18"/>
          <w:color w:val="auto"/>
        </w:rPr>
        <w:t>The Company has two active stock plans, the 2009 Stock Incentive Plan (the “2009 Plan”) and the 2009 Employee Stock Purchase Plan (the “2009 ESPP”) that have been amended and approved by shareholders from time to time.</w:t>
      </w:r>
    </w:p>
    <w:p>
      <w:pPr>
        <w:spacing w:after="0" w:line="163" w:lineRule="exact"/>
        <w:rPr>
          <w:sz w:val="20"/>
          <w:szCs w:val="20"/>
          <w:color w:val="auto"/>
        </w:rPr>
      </w:pPr>
    </w:p>
    <w:p>
      <w:pPr>
        <w:ind w:left="640" w:hanging="313"/>
        <w:spacing w:after="0" w:line="251"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Plan allows for grants of stock options, stock appreciation rights, performance shares, performance stock units, restricted stock units (“RSUs”), restricted stock awards (“RSAs”), performance-based stock units (“PSUs”) and other awards (collectively, “awards”). All awards deduct one share from the 2009 Plan shares available for issuance for each share granted. Awards granted under the 2009 Plan contain vesting provisions mostly ranging from three to four years. To the extent awards granted under the 2009 Plan terminate, expire, or lapse for any reason, or are settled in cash, shares subject to such awards will again be available for grant.</w:t>
      </w:r>
    </w:p>
    <w:p>
      <w:pPr>
        <w:spacing w:after="0" w:line="4" w:lineRule="exact"/>
        <w:rPr>
          <w:rFonts w:ascii="Times New Roman" w:cs="Times New Roman" w:eastAsia="Times New Roman" w:hAnsi="Times New Roman"/>
          <w:sz w:val="18"/>
          <w:szCs w:val="18"/>
          <w:color w:val="auto"/>
        </w:rPr>
      </w:pPr>
    </w:p>
    <w:p>
      <w:pPr>
        <w:ind w:left="640" w:right="200" w:hanging="313"/>
        <w:spacing w:after="0" w:line="25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ESPP allows eligible employees to purchase a limited number of shares of the Company’s common stock at no less than 85% of the fair market value of a share of common stock at prescribed purchase intervals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357" w:lineRule="exact"/>
        <w:rPr>
          <w:sz w:val="20"/>
          <w:szCs w:val="20"/>
          <w:color w:val="auto"/>
        </w:rPr>
      </w:pPr>
    </w:p>
    <w:p>
      <w:pPr>
        <w:ind w:left="640" w:right="200"/>
        <w:spacing w:after="0" w:line="277" w:lineRule="auto"/>
        <w:rPr>
          <w:sz w:val="20"/>
          <w:szCs w:val="20"/>
          <w:color w:val="auto"/>
        </w:rPr>
      </w:pPr>
      <w:r>
        <w:rPr>
          <w:rFonts w:ascii="Times New Roman" w:cs="Times New Roman" w:eastAsia="Times New Roman" w:hAnsi="Times New Roman"/>
          <w:sz w:val="18"/>
          <w:szCs w:val="18"/>
          <w:color w:val="auto"/>
        </w:rPr>
        <w:t>during an offering period. Each offering period is comprised of a series of one or more successive and/or overlapping purchase intervals and has a maximum term of 27 months.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Plan</w:t>
      </w:r>
    </w:p>
    <w:p>
      <w:pPr>
        <w:spacing w:after="0" w:line="222" w:lineRule="exact"/>
        <w:rPr>
          <w:sz w:val="20"/>
          <w:szCs w:val="20"/>
          <w:color w:val="auto"/>
        </w:rPr>
      </w:pPr>
    </w:p>
    <w:p>
      <w:pPr>
        <w:ind w:right="160" w:firstLine="320"/>
        <w:spacing w:after="0" w:line="277" w:lineRule="auto"/>
        <w:rPr>
          <w:sz w:val="20"/>
          <w:szCs w:val="20"/>
          <w:color w:val="auto"/>
        </w:rPr>
      </w:pPr>
      <w:r>
        <w:rPr>
          <w:rFonts w:ascii="Times New Roman" w:cs="Times New Roman" w:eastAsia="Times New Roman" w:hAnsi="Times New Roman"/>
          <w:sz w:val="18"/>
          <w:szCs w:val="18"/>
          <w:color w:val="auto"/>
        </w:rPr>
        <w:t>The Company granted to its employees 0.8 million, 0.7 million and 0.5 million shares of full value awards from the 2009 Plan during fiscal 2025, 2024 and 2023, respectively. Full value awards include RSUs, MSUs, and PSUs.</w:t>
      </w:r>
    </w:p>
    <w:p>
      <w:pPr>
        <w:spacing w:after="0" w:line="163" w:lineRule="exact"/>
        <w:rPr>
          <w:sz w:val="20"/>
          <w:szCs w:val="20"/>
          <w:color w:val="auto"/>
        </w:rPr>
      </w:pPr>
    </w:p>
    <w:p>
      <w:pPr>
        <w:jc w:val="both"/>
        <w:ind w:right="40" w:firstLine="320"/>
        <w:spacing w:after="0" w:line="257" w:lineRule="auto"/>
        <w:rPr>
          <w:sz w:val="20"/>
          <w:szCs w:val="20"/>
          <w:color w:val="auto"/>
        </w:rPr>
      </w:pPr>
      <w:r>
        <w:rPr>
          <w:rFonts w:ascii="Times New Roman" w:cs="Times New Roman" w:eastAsia="Times New Roman" w:hAnsi="Times New Roman"/>
          <w:sz w:val="18"/>
          <w:szCs w:val="18"/>
          <w:color w:val="auto"/>
        </w:rPr>
        <w:t>MSUs provide the rights to acquire a number of shares of common stock for no cash consideration based upon achievement of specified levels of market conditions. The requisite measurement period for these MSUs is also the vesting period, which is generally three years. MSUs granted in 2020 measured the relative performance of the total stockholders’ return of the Company against that of a selected benchmarked group of companies. The Company granted no MSUs in fiscal 2025, 2024 and 2023.</w:t>
      </w:r>
    </w:p>
    <w:p>
      <w:pPr>
        <w:spacing w:after="0" w:line="181" w:lineRule="exact"/>
        <w:rPr>
          <w:sz w:val="20"/>
          <w:szCs w:val="20"/>
          <w:color w:val="auto"/>
        </w:rPr>
      </w:pPr>
    </w:p>
    <w:p>
      <w:pPr>
        <w:ind w:right="60" w:firstLine="320"/>
        <w:spacing w:after="0" w:line="262" w:lineRule="auto"/>
        <w:rPr>
          <w:sz w:val="20"/>
          <w:szCs w:val="20"/>
          <w:color w:val="auto"/>
        </w:rPr>
      </w:pPr>
      <w:r>
        <w:rPr>
          <w:rFonts w:ascii="Times New Roman" w:cs="Times New Roman" w:eastAsia="Times New Roman" w:hAnsi="Times New Roman"/>
          <w:sz w:val="18"/>
          <w:szCs w:val="18"/>
          <w:color w:val="auto"/>
        </w:rPr>
        <w:t>PSUs provide for the rights to acquire a number of shares of common stock for no cash consideration based upon the achievement of specified revenue or profitability objectives during the year. The requisite performance period of these PSUs is approximately three years from the date of grant. The Company granted 145,735; 95,953; and 85,554 PSUs in fiscal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ESPP</w:t>
      </w:r>
    </w:p>
    <w:p>
      <w:pPr>
        <w:spacing w:after="0" w:line="222" w:lineRule="exact"/>
        <w:rPr>
          <w:sz w:val="20"/>
          <w:szCs w:val="20"/>
          <w:color w:val="auto"/>
        </w:rPr>
      </w:pPr>
    </w:p>
    <w:p>
      <w:pPr>
        <w:ind w:right="220" w:firstLine="320"/>
        <w:spacing w:after="0" w:line="253" w:lineRule="auto"/>
        <w:rPr>
          <w:sz w:val="20"/>
          <w:szCs w:val="20"/>
          <w:color w:val="auto"/>
        </w:rPr>
      </w:pPr>
      <w:r>
        <w:rPr>
          <w:rFonts w:ascii="Times New Roman" w:cs="Times New Roman" w:eastAsia="Times New Roman" w:hAnsi="Times New Roman"/>
          <w:sz w:val="18"/>
          <w:szCs w:val="18"/>
          <w:color w:val="auto"/>
        </w:rPr>
        <w:t>The rights to purchase common stock granted under the 2009 ESPP are intended to be treated as either (i) purchase rights granted under an “employee stock purchase plan,” as that term is defined in Section 423(b) of the Internal Revenue Code (the “423(b) Plan”), or (ii) purchase rights granted under an employee stock purchase plan that is not subject to the terms and conditions of Section 423(b) of the Internal Revenue Code (the “Non-423(b) Plan”). The Company will retain the discretion to grant purchase rights under either the 423(b) Plan or the Non-423(b) Plan. During fiscal 2025, 2024 and 2023, the Company issued 160,000; 173,000; and 154,000 shares, respectively, under the 2009 ESPP to its employees. The weighted-average fair value for purchase rights granted in fiscal 2025 under the 2009 ESPP was $34.90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Stock-based compensation costs are based on the fair values on the date of grant for awards under the 2009 Plan, and on the date of enrollment for grants under the 2009 ESPP. The fair values of stock awards (such as RSUs, PSUs and RSAs) are estimated based on their intrinsic values. The fair values of MSUs are estimated using a Monte Carlo simulation. The fair values of stock options and grants under the 2009 ESPP are estimated using the Black-Scholes option-pricing model. The fair values of all such stock-based grants are generally amortized on a straight-line basis over the vesting period of the grants.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Consolidated Statements of Operations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4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w:t>
            </w:r>
          </w:p>
        </w:tc>
      </w:tr>
      <w:tr>
        <w:trPr>
          <w:trHeight w:val="25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r>
      <w:tr>
        <w:trPr>
          <w:trHeight w:val="247"/>
        </w:trPr>
        <w:tc>
          <w:tcPr>
            <w:tcW w:w="6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48,209</w:t>
            </w:r>
          </w:p>
        </w:tc>
      </w:tr>
      <w:tr>
        <w:trPr>
          <w:trHeight w:val="25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5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52,945</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41,979</w:t>
            </w: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357" w:lineRule="exact"/>
        <w:rPr>
          <w:sz w:val="20"/>
          <w:szCs w:val="20"/>
          <w:color w:val="auto"/>
        </w:rPr>
      </w:pPr>
    </w:p>
    <w:p>
      <w:pPr>
        <w:jc w:val="both"/>
        <w:ind w:right="60" w:firstLine="320"/>
        <w:spacing w:after="0" w:line="262" w:lineRule="auto"/>
        <w:rPr>
          <w:sz w:val="20"/>
          <w:szCs w:val="20"/>
          <w:color w:val="auto"/>
        </w:rPr>
      </w:pPr>
      <w:r>
        <w:rPr>
          <w:rFonts w:ascii="Times New Roman" w:cs="Times New Roman" w:eastAsia="Times New Roman" w:hAnsi="Times New Roman"/>
          <w:sz w:val="18"/>
          <w:szCs w:val="18"/>
          <w:color w:val="auto"/>
        </w:rPr>
        <w:t>The Company recorded $1.5 million and $0.6 million of stock-based compensation charges during fiscal 2025 and 2024 respectively, in connection with the modification of certain equity awards. The modifications were pursuant to employee terminations. There were no other significant modifications made to any stock grants during fiscal 2025, 2024 or 2023.</w:t>
      </w:r>
    </w:p>
    <w:p>
      <w:pPr>
        <w:spacing w:after="0" w:line="176" w:lineRule="exact"/>
        <w:rPr>
          <w:sz w:val="20"/>
          <w:szCs w:val="20"/>
          <w:color w:val="auto"/>
        </w:rPr>
      </w:pPr>
    </w:p>
    <w:p>
      <w:pPr>
        <w:ind w:right="120" w:firstLine="320"/>
        <w:spacing w:after="0" w:line="262" w:lineRule="auto"/>
        <w:rPr>
          <w:sz w:val="20"/>
          <w:szCs w:val="20"/>
          <w:color w:val="auto"/>
        </w:rPr>
      </w:pPr>
      <w:r>
        <w:rPr>
          <w:rFonts w:ascii="Times New Roman" w:cs="Times New Roman" w:eastAsia="Times New Roman" w:hAnsi="Times New Roman"/>
          <w:sz w:val="18"/>
          <w:szCs w:val="18"/>
          <w:color w:val="auto"/>
        </w:rPr>
        <w:t>The Company had approximately $127.0 million of total unrecognized compensation cost related to equity grants as of January 3, 2026 that is expected to be recognized over a weighted-average period of approximately 2.0 years. There were no significant stock-based compensation costs capitalized into assets in any of the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assumptions and stock awards activity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estimated from the Black-Scholes option-pricing model for ESPP shares granted were calculated using the following assumptions: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680" w:type="dxa"/>
            <w:vAlign w:val="bottom"/>
            <w:gridSpan w:val="4"/>
          </w:tcPr>
          <w:p>
            <w:pPr>
              <w:jc w:val="center"/>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3"/>
                <w:szCs w:val="13"/>
                <w:color w:val="auto"/>
              </w:rPr>
            </w:pPr>
          </w:p>
        </w:tc>
        <w:tc>
          <w:tcPr>
            <w:tcW w:w="1220" w:type="dxa"/>
            <w:vAlign w:val="bottom"/>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 w:type="dxa"/>
            <w:vAlign w:val="bottom"/>
          </w:tcPr>
          <w:p>
            <w:pPr>
              <w:spacing w:after="0"/>
              <w:rPr>
                <w:sz w:val="13"/>
                <w:szCs w:val="13"/>
                <w:color w:val="auto"/>
              </w:rPr>
            </w:pPr>
          </w:p>
        </w:tc>
      </w:tr>
      <w:tr>
        <w:trPr>
          <w:trHeight w:val="187"/>
        </w:trPr>
        <w:tc>
          <w:tcPr>
            <w:tcW w:w="40" w:type="dxa"/>
            <w:vAlign w:val="bottom"/>
          </w:tcPr>
          <w:p>
            <w:pPr>
              <w:spacing w:after="0"/>
              <w:rPr>
                <w:sz w:val="16"/>
                <w:szCs w:val="16"/>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21"/>
                <w:szCs w:val="21"/>
                <w:color w:val="auto"/>
              </w:rPr>
            </w:pPr>
          </w:p>
        </w:tc>
      </w:tr>
      <w:tr>
        <w:trPr>
          <w:trHeight w:val="247"/>
        </w:trPr>
        <w:tc>
          <w:tcPr>
            <w:tcW w:w="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20" w:type="dxa"/>
            <w:vAlign w:val="bottom"/>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months)</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2"/>
                <w:szCs w:val="22"/>
                <w:color w:val="auto"/>
              </w:rPr>
            </w:pPr>
          </w:p>
        </w:tc>
      </w:tr>
      <w:tr>
        <w:trPr>
          <w:trHeight w:val="241"/>
        </w:trPr>
        <w:tc>
          <w:tcPr>
            <w:tcW w:w="4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534"/>
        </w:trPr>
        <w:tc>
          <w:tcPr>
            <w:tcW w:w="40" w:type="dxa"/>
            <w:vAlign w:val="bottom"/>
          </w:tcPr>
          <w:p>
            <w:pPr>
              <w:spacing w:after="0"/>
              <w:rPr>
                <w:sz w:val="24"/>
                <w:szCs w:val="24"/>
                <w:color w:val="auto"/>
              </w:rPr>
            </w:pPr>
          </w:p>
        </w:tc>
        <w:tc>
          <w:tcPr>
            <w:tcW w:w="6620" w:type="dxa"/>
            <w:vAlign w:val="bottom"/>
            <w:gridSpan w:val="5"/>
          </w:tcPr>
          <w:p>
            <w:pPr>
              <w:jc w:val="right"/>
              <w:ind w:right="171"/>
              <w:spacing w:after="0"/>
              <w:rPr>
                <w:sz w:val="20"/>
                <w:szCs w:val="20"/>
                <w:color w:val="auto"/>
              </w:rPr>
            </w:pPr>
            <w:r>
              <w:rPr>
                <w:rFonts w:ascii="Times New Roman" w:cs="Times New Roman" w:eastAsia="Times New Roman" w:hAnsi="Times New Roman"/>
                <w:sz w:val="18"/>
                <w:szCs w:val="18"/>
                <w:color w:val="auto"/>
              </w:rPr>
              <w:t>A summary of stock-based compensation activity with respect to fiscal 2025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2"/>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3"/>
                <w:szCs w:val="13"/>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3"/>
                <w:szCs w:val="13"/>
                <w:color w:val="auto"/>
              </w:rPr>
            </w:pPr>
          </w:p>
        </w:tc>
      </w:tr>
      <w:tr>
        <w:trPr>
          <w:trHeight w:val="200"/>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8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spacing w:after="0"/>
              <w:rPr>
                <w:sz w:val="17"/>
                <w:szCs w:val="17"/>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20" w:type="dxa"/>
            <w:vAlign w:val="bottom"/>
          </w:tcPr>
          <w:p>
            <w:pPr>
              <w:spacing w:after="0"/>
              <w:rPr>
                <w:sz w:val="17"/>
                <w:szCs w:val="17"/>
                <w:color w:val="auto"/>
              </w:rPr>
            </w:pPr>
          </w:p>
        </w:tc>
      </w:tr>
      <w:tr>
        <w:trPr>
          <w:trHeight w:val="25"/>
        </w:trPr>
        <w:tc>
          <w:tcPr>
            <w:tcW w:w="5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 w:type="dxa"/>
            <w:vAlign w:val="bottom"/>
            <w:shd w:val="clear" w:color="auto" w:fill="CCEEFF"/>
          </w:tcPr>
          <w:p>
            <w:pPr>
              <w:spacing w:after="0"/>
              <w:rPr>
                <w:sz w:val="21"/>
                <w:szCs w:val="21"/>
                <w:color w:val="auto"/>
              </w:rPr>
            </w:pPr>
          </w:p>
        </w:tc>
      </w:tr>
      <w:tr>
        <w:trPr>
          <w:trHeight w:val="247"/>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 w:type="dxa"/>
            <w:vAlign w:val="bottom"/>
          </w:tcPr>
          <w:p>
            <w:pPr>
              <w:spacing w:after="0"/>
              <w:rPr>
                <w:sz w:val="21"/>
                <w:szCs w:val="21"/>
                <w:color w:val="auto"/>
              </w:rPr>
            </w:pPr>
          </w:p>
        </w:tc>
      </w:tr>
      <w:tr>
        <w:trPr>
          <w:trHeight w:val="26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 2026</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r>
      <w:tr>
        <w:trPr>
          <w:trHeight w:val="247"/>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Vested at January 3, 2026 and expected to vest</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6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January 3, 2026</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r>
      <w:tr>
        <w:trPr>
          <w:trHeight w:val="482"/>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24"/>
                <w:szCs w:val="24"/>
                <w:color w:val="auto"/>
              </w:rPr>
            </w:pPr>
          </w:p>
        </w:tc>
      </w:tr>
      <w:tr>
        <w:trPr>
          <w:trHeight w:val="173"/>
        </w:trPr>
        <w:tc>
          <w:tcPr>
            <w:tcW w:w="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0" w:type="dxa"/>
            <w:vAlign w:val="bottom"/>
          </w:tcPr>
          <w:p>
            <w:pPr>
              <w:spacing w:after="0"/>
              <w:rPr>
                <w:sz w:val="15"/>
                <w:szCs w:val="15"/>
                <w:color w:val="auto"/>
              </w:rPr>
            </w:pPr>
          </w:p>
        </w:tc>
      </w:tr>
      <w:tr>
        <w:trPr>
          <w:trHeight w:val="160"/>
        </w:trPr>
        <w:tc>
          <w:tcPr>
            <w:tcW w:w="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Vesting Term</w:t>
            </w:r>
          </w:p>
        </w:tc>
        <w:tc>
          <w:tcPr>
            <w:tcW w:w="120" w:type="dxa"/>
            <w:vAlign w:val="bottom"/>
          </w:tcPr>
          <w:p>
            <w:pPr>
              <w:spacing w:after="0"/>
              <w:rPr>
                <w:sz w:val="13"/>
                <w:szCs w:val="13"/>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3"/>
                <w:szCs w:val="13"/>
                <w:color w:val="auto"/>
              </w:rPr>
            </w:pPr>
          </w:p>
        </w:tc>
      </w:tr>
      <w:tr>
        <w:trPr>
          <w:trHeight w:val="187"/>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RSAs and RSUs</w:t>
            </w:r>
          </w:p>
        </w:tc>
        <w:tc>
          <w:tcPr>
            <w:tcW w:w="88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spacing w:after="0"/>
              <w:rPr>
                <w:sz w:val="16"/>
                <w:szCs w:val="16"/>
                <w:color w:val="auto"/>
              </w:rPr>
            </w:pP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20" w:type="dxa"/>
            <w:vAlign w:val="bottom"/>
          </w:tcPr>
          <w:p>
            <w:pPr>
              <w:spacing w:after="0"/>
              <w:rPr>
                <w:sz w:val="16"/>
                <w:szCs w:val="16"/>
                <w:color w:val="auto"/>
              </w:rPr>
            </w:pPr>
          </w:p>
        </w:tc>
      </w:tr>
      <w:tr>
        <w:trPr>
          <w:trHeight w:val="25"/>
        </w:trPr>
        <w:tc>
          <w:tcPr>
            <w:tcW w:w="5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7"/>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132.42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issued</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47"/>
        </w:trPr>
        <w:tc>
          <w:tcPr>
            <w:tcW w:w="5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3"/>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 2026</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151,802</w:t>
            </w:r>
          </w:p>
        </w:tc>
        <w:tc>
          <w:tcPr>
            <w:tcW w:w="20" w:type="dxa"/>
            <w:vAlign w:val="bottom"/>
            <w:shd w:val="clear" w:color="auto" w:fill="CCEEFF"/>
          </w:tcPr>
          <w:p>
            <w:pPr>
              <w:spacing w:after="0"/>
              <w:rPr>
                <w:sz w:val="22"/>
                <w:szCs w:val="22"/>
                <w:color w:val="auto"/>
              </w:rPr>
            </w:pPr>
          </w:p>
        </w:tc>
      </w:tr>
      <w:tr>
        <w:trPr>
          <w:trHeight w:val="267"/>
        </w:trPr>
        <w:tc>
          <w:tcPr>
            <w:tcW w:w="5300" w:type="dxa"/>
            <w:vAlign w:val="bottom"/>
            <w:gridSpan w:val="3"/>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gridSpan w:val="2"/>
          </w:tcPr>
          <w:p>
            <w:pPr>
              <w:spacing w:after="0"/>
              <w:rPr>
                <w:sz w:val="23"/>
                <w:szCs w:val="23"/>
                <w:color w:val="auto"/>
              </w:rPr>
            </w:pPr>
          </w:p>
        </w:tc>
        <w:tc>
          <w:tcPr>
            <w:tcW w:w="220" w:type="dxa"/>
            <w:vAlign w:val="bottom"/>
            <w:gridSpan w:val="2"/>
          </w:tcPr>
          <w:p>
            <w:pPr>
              <w:spacing w:after="0"/>
              <w:rPr>
                <w:sz w:val="23"/>
                <w:szCs w:val="23"/>
                <w:color w:val="auto"/>
              </w:rPr>
            </w:pPr>
          </w:p>
        </w:tc>
        <w:tc>
          <w:tcPr>
            <w:tcW w:w="122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4"/>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 2026 and expected to vest</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151,703</w:t>
            </w:r>
          </w:p>
        </w:tc>
        <w:tc>
          <w:tcPr>
            <w:tcW w:w="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Vesting Term</w:t>
            </w:r>
          </w:p>
        </w:tc>
        <w:tc>
          <w:tcPr>
            <w:tcW w:w="240" w:type="dxa"/>
            <w:vAlign w:val="bottom"/>
          </w:tcPr>
          <w:p>
            <w:pPr>
              <w:spacing w:after="0"/>
              <w:rPr>
                <w:sz w:val="13"/>
                <w:szCs w:val="13"/>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PSUs and MSUs</w:t>
            </w:r>
          </w:p>
        </w:tc>
        <w:tc>
          <w:tcPr>
            <w:tcW w:w="9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(000s)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7"/>
                <w:szCs w:val="17"/>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5"/>
        </w:trPr>
        <w:tc>
          <w:tcPr>
            <w:tcW w:w="5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issued</w:t>
            </w:r>
          </w:p>
        </w:tc>
        <w:tc>
          <w:tcPr>
            <w:tcW w:w="9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 2026</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w:t>
            </w:r>
          </w:p>
        </w:tc>
      </w:tr>
      <w:tr>
        <w:trPr>
          <w:trHeight w:val="267"/>
        </w:trPr>
        <w:tc>
          <w:tcPr>
            <w:tcW w:w="5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 2026 and expected to vest</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Company’s weighted average fair value at the date of grant: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grant of RSAs and RSUs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125.19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grant of PSUs and MSUs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138.22</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w:t>
            </w:r>
          </w:p>
        </w:tc>
      </w:tr>
    </w:tbl>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Company’s stock-based payment and stock option values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RSUs that vested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56,842</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61,371</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RSUs that vested</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PSUs and MSUs that vested</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PSUs and MSUs that vested</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3, 2026, the Company had reserved shares of common stock for future issuance as follows (in thousands):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47"/>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2009 ESPP</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78"/>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reserved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224"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 contributed $3.0 million, $3.0 million and $3.3 million to the 401(k) Plan during fiscal 2025,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Loss, inclusive of equity-method loss and before income taxes, includes the following components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20" w:type="dxa"/>
            <w:vAlign w:val="bottom"/>
          </w:tcPr>
          <w:p>
            <w:pPr>
              <w:spacing w:after="0"/>
              <w:rPr>
                <w:sz w:val="13"/>
                <w:szCs w:val="13"/>
                <w:color w:val="auto"/>
              </w:rPr>
            </w:pPr>
          </w:p>
        </w:tc>
        <w:tc>
          <w:tcPr>
            <w:tcW w:w="132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tcPr>
          <w:p>
            <w:pPr>
              <w:spacing w:after="0"/>
              <w:rPr>
                <w:sz w:val="21"/>
                <w:szCs w:val="21"/>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(32,463)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(121,781)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65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36,197</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the federal statutory tax rate to the Company’s effective tax rate is as follows ($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3"/>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gridSpan w:val="3"/>
          </w:tcPr>
          <w:p>
            <w:pPr>
              <w:jc w:val="center"/>
              <w:ind w:left="233"/>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 at statutory rate</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6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Enhanced research deduction</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1"/>
        </w:trPr>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amortization expense</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1"/>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1"/>
        </w:trPr>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1"/>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440" w:type="dxa"/>
            <w:vAlign w:val="bottom"/>
          </w:tcPr>
          <w:p>
            <w:pPr>
              <w:spacing w:after="0"/>
              <w:rPr>
                <w:sz w:val="20"/>
                <w:szCs w:val="20"/>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Subpart F income and GILTI, net of foreign tax credit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1"/>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1"/>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nondeductible/nontaxable items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1"/>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66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No state jurisdictions were individually material.</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0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spacing w:after="0"/>
              <w:rPr>
                <w:sz w:val="16"/>
                <w:szCs w:val="16"/>
                <w:color w:val="auto"/>
              </w:rPr>
            </w:pPr>
          </w:p>
        </w:tc>
      </w:tr>
      <w:tr>
        <w:trPr>
          <w:trHeight w:val="38"/>
        </w:trPr>
        <w:tc>
          <w:tcPr>
            <w:tcW w:w="7840" w:type="dxa"/>
            <w:vAlign w:val="bottom"/>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55"/>
        </w:trPr>
        <w:tc>
          <w:tcPr>
            <w:tcW w:w="7840" w:type="dxa"/>
            <w:vAlign w:val="bottom"/>
          </w:tcPr>
          <w:p>
            <w:pPr>
              <w:spacing w:after="0"/>
              <w:rPr>
                <w:sz w:val="13"/>
                <w:szCs w:val="13"/>
                <w:color w:val="auto"/>
              </w:rPr>
            </w:pPr>
          </w:p>
        </w:tc>
        <w:tc>
          <w:tcPr>
            <w:tcW w:w="2040" w:type="dxa"/>
            <w:vAlign w:val="bottom"/>
            <w:gridSpan w:val="3"/>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4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784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8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benefit</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(33.2)</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valuation allowance</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prior period valuation allowance</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GILTI and Subpart F income, net of foreign tax credits</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(24.2)</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nontaxable foreign items</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(26.0)</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nontaxable domestic items</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16.5</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expense</w:t>
            </w:r>
          </w:p>
        </w:tc>
        <w:tc>
          <w:tcPr>
            <w:tcW w:w="20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20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(7.4)</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effects of equity compensation</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of stock-based compensation</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prior year unrecognized tax benefits</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26.9</w:t>
            </w:r>
          </w:p>
        </w:tc>
      </w:tr>
      <w:tr>
        <w:trPr>
          <w:trHeight w:val="25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w:t>
            </w:r>
          </w:p>
        </w:tc>
      </w:tr>
      <w:tr>
        <w:trPr>
          <w:trHeight w:val="25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The decrease in the provision for income taxes for fiscal 2025 as compared to fiscal 2024 was primarily due to a decrease in tax expense related to the valuation allowance during fiscal 2025. The increase in the provision for income taxes for fiscal 2024 as compared to fiscal 2023 was primarily due to the establishment of a valuation allowance against the majority of the Company’s U.S. and Singapore deferred tax assets during the second quarter of fiscal 2024.</w:t>
      </w:r>
    </w:p>
    <w:p>
      <w:pPr>
        <w:spacing w:after="0" w:line="181" w:lineRule="exact"/>
        <w:rPr>
          <w:sz w:val="20"/>
          <w:szCs w:val="20"/>
          <w:color w:val="auto"/>
        </w:rPr>
      </w:pPr>
    </w:p>
    <w:p>
      <w:pPr>
        <w:ind w:right="120" w:firstLine="320"/>
        <w:spacing w:after="0" w:line="255" w:lineRule="auto"/>
        <w:rPr>
          <w:sz w:val="20"/>
          <w:szCs w:val="20"/>
          <w:color w:val="auto"/>
        </w:rPr>
      </w:pPr>
      <w:r>
        <w:rPr>
          <w:rFonts w:ascii="Times New Roman" w:cs="Times New Roman" w:eastAsia="Times New Roman" w:hAnsi="Times New Roman"/>
          <w:sz w:val="17"/>
          <w:szCs w:val="17"/>
          <w:color w:val="auto"/>
        </w:rPr>
        <w:t>On July 4, 2025, the U.S. government enacted tax legislation commonly referred to as the One Big Beautiful Bill Act (the “OBBBA”). The OBBBA extends and/or modifies many provisions first enacted via the Tax Cuts and Jobs Act (“TCJA”) in 2017, as well as introduces new modifications to U.S.federal tax law. Beginning with the 2025 tax year, the OBBBA permanently restores current deductibility for U.S. research and experimental (“R&amp;E”) expenditures. A number of other changes enacted in the OBBBA will not take effect until the 2026 tax year, including various modifications to existing international tax provisions. The Company determined that its annual effective tax rate for the current year decreased due to the impacts of the OBBBA, primarily due to U.S. R&amp;E expenditures no longer being capitalized within global intangible low-taxed income or “GILTI”, which the Company has elected</w:t>
      </w:r>
    </w:p>
    <w:p>
      <w:pPr>
        <w:spacing w:after="0" w:line="218" w:lineRule="auto"/>
        <w:rPr>
          <w:sz w:val="20"/>
          <w:szCs w:val="20"/>
          <w:color w:val="auto"/>
        </w:rPr>
      </w:pPr>
      <w:r>
        <w:rPr>
          <w:rFonts w:ascii="Times New Roman" w:cs="Times New Roman" w:eastAsia="Times New Roman" w:hAnsi="Times New Roman"/>
          <w:sz w:val="18"/>
          <w:szCs w:val="18"/>
          <w:color w:val="auto"/>
        </w:rPr>
        <w:t>to treat as a period cost.</w:t>
      </w:r>
    </w:p>
    <w:p>
      <w:pPr>
        <w:ind w:right="280"/>
        <w:spacing w:after="0" w:line="239" w:lineRule="auto"/>
        <w:rPr>
          <w:sz w:val="20"/>
          <w:szCs w:val="20"/>
          <w:color w:val="auto"/>
        </w:rPr>
      </w:pPr>
      <w:r>
        <w:rPr>
          <w:rFonts w:ascii="Times New Roman" w:cs="Times New Roman" w:eastAsia="Times New Roman" w:hAnsi="Times New Roman"/>
          <w:sz w:val="18"/>
          <w:szCs w:val="18"/>
          <w:color w:val="auto"/>
        </w:rPr>
        <w:t>The Company did not identify any material discrete tax impacts related to beginning-of-the-year deferred tax assets and liabilities or valuation allowances due to the enactment of the OBBBA.</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paid for income taxes (net of refunds)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5"/>
        </w:trPr>
        <w:tc>
          <w:tcPr>
            <w:tcW w:w="9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55"/>
        </w:trPr>
        <w:tc>
          <w:tcPr>
            <w:tcW w:w="9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87"/>
        </w:trPr>
        <w:tc>
          <w:tcPr>
            <w:tcW w:w="9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5"/>
        </w:trPr>
        <w:tc>
          <w:tcPr>
            <w:tcW w:w="9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41"/>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6"/>
        </w:trPr>
        <w:tc>
          <w:tcPr>
            <w:tcW w:w="9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6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w:t>
            </w:r>
          </w:p>
        </w:tc>
      </w:tr>
      <w:tr>
        <w:trPr>
          <w:trHeight w:val="20"/>
        </w:trPr>
        <w:tc>
          <w:tcPr>
            <w:tcW w:w="9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Individual jurisdictions equaling 5% or more of the total income taxes paid (net of refunds) for the year ended January 3, 2026 include U.S. Federal at $7.9 million, Minnesota at $(2.7) million, India at $2.9 million, and Singapore at $0.7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4" w:lineRule="exact"/>
        <w:rPr>
          <w:sz w:val="20"/>
          <w:szCs w:val="20"/>
          <w:color w:val="auto"/>
        </w:rPr>
      </w:pPr>
    </w:p>
    <w:p>
      <w:pPr>
        <w:ind w:right="140" w:firstLine="320"/>
        <w:spacing w:after="0" w:line="277" w:lineRule="auto"/>
        <w:rPr>
          <w:sz w:val="20"/>
          <w:szCs w:val="20"/>
          <w:color w:val="auto"/>
        </w:rPr>
      </w:pPr>
      <w:r>
        <w:rPr>
          <w:rFonts w:ascii="Times New Roman" w:cs="Times New Roman" w:eastAsia="Times New Roman" w:hAnsi="Times New Roman"/>
          <w:sz w:val="18"/>
          <w:szCs w:val="18"/>
          <w:color w:val="auto"/>
        </w:rPr>
        <w:t>Deferred tax assets and liabilities are recorded for the estimated tax impact of temporary differences between the tax basis and book basis of assets and liabilities. Significant components of the Company’s deferred taxes as of January 3, 2026 and December 28, 2024 were as follows (in thousands):</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0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28,613</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r>
      <w:tr>
        <w:trPr>
          <w:trHeight w:val="26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47"/>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5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47"/>
        </w:trPr>
        <w:tc>
          <w:tcPr>
            <w:tcW w:w="7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92,378</w:t>
            </w:r>
          </w:p>
        </w:tc>
      </w:tr>
      <w:tr>
        <w:trPr>
          <w:trHeight w:val="254"/>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(60,760)</w:t>
            </w:r>
          </w:p>
        </w:tc>
      </w:tr>
      <w:tr>
        <w:trPr>
          <w:trHeight w:val="247"/>
        </w:trPr>
        <w:tc>
          <w:tcPr>
            <w:tcW w:w="7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w:t>
            </w:r>
          </w:p>
        </w:tc>
      </w:tr>
      <w:tr>
        <w:trPr>
          <w:trHeight w:val="273"/>
        </w:trPr>
        <w:tc>
          <w:tcPr>
            <w:tcW w:w="7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54"/>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47"/>
        </w:trPr>
        <w:tc>
          <w:tcPr>
            <w:tcW w:w="78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31,139</w:t>
            </w:r>
          </w:p>
        </w:tc>
      </w:tr>
      <w:tr>
        <w:trPr>
          <w:trHeight w:val="278"/>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As of January 3, 2026, the Company had foreign net operating loss and research and development tax credit carryforwards of approximately $230.3 million and $0.4 million, respectively. The foreign net operating loss carryforwards do not expire. The foreign research and development tax credits expire in fiscal years 2044 through 2045.</w:t>
      </w:r>
    </w:p>
    <w:p>
      <w:pPr>
        <w:spacing w:after="0" w:line="176"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As of January 3, 2026, the Company had U.S. federal net operating loss, research and development tax credit and foreign tax credit carryforwards of approximately $8.0 million, $10.5 million and $3.6 million, respectively. All of the net operating loss and $0.2 million of the research and development tax credit carryforwards are subject to an annual limit, which may cause them to expire before they are used. The net operating loss and research and development tax credit carryforwards that are subject to limitation expire in fiscal years 2028 through 2030, the remaining research and development tax credit carryforwards expire in fiscal years 2044 through 2045, and the foreign tax credit carryforwards expire in fiscal years 2033 through 2034.</w:t>
      </w:r>
    </w:p>
    <w:p>
      <w:pPr>
        <w:spacing w:after="0" w:line="186"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8"/>
          <w:szCs w:val="18"/>
          <w:color w:val="auto"/>
        </w:rPr>
        <w:t>Additionally, the Company had state net operating loss and state research and development tax credit carryforwards of approximately $28.9 million and $14.2 million, respectively. Certain of these carryforwards expire in fiscal years 2026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through 2044, and others do not expire. Recognition of some of these loss and credit carryforwards is subject to an annual limit, which may cause them to expire before they are used.</w:t>
      </w:r>
    </w:p>
    <w:p>
      <w:pPr>
        <w:spacing w:after="0" w:line="163"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against a deferred tax asset when it is more likely than not that the deferred tax asset will not be realized. The Company maintains a valuation allowance with respect to the majority of deferred tax assets in the U.S. and Singapore and with respect to research and development tax credit carryforwards in Canada. During fiscal 2024, the Company determined that there is a need for a valuation allowance in the U.S. and Singapore due to a three-year cumulative pre-tax loss in conjunction with the recent downturn in the semiconductor industry. The Company intends to maintain the valuation allowance until its ability to forecast sufficient future sources of taxable income is reestablished. The following table summarizes the activity related to the valuation allowance for deferred tax assets (in thousands):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60"/>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87"/>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6"/>
                <w:szCs w:val="16"/>
                <w:color w:val="auto"/>
              </w:rPr>
            </w:pPr>
          </w:p>
        </w:tc>
        <w:tc>
          <w:tcPr>
            <w:tcW w:w="12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25"/>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January 3, 2026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81,069</w:t>
            </w:r>
          </w:p>
        </w:tc>
      </w:tr>
      <w:tr>
        <w:trPr>
          <w:trHeight w:val="267"/>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60,760</w:t>
            </w:r>
          </w:p>
        </w:tc>
      </w:tr>
      <w:tr>
        <w:trPr>
          <w:trHeight w:val="267"/>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gross unrecognized tax benefits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as a result of a lapse of the applicable statute of limitations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220" w:firstLine="320"/>
        <w:spacing w:after="0" w:line="262" w:lineRule="auto"/>
        <w:rPr>
          <w:sz w:val="20"/>
          <w:szCs w:val="20"/>
          <w:color w:val="auto"/>
        </w:rPr>
      </w:pPr>
      <w:r>
        <w:rPr>
          <w:rFonts w:ascii="Times New Roman" w:cs="Times New Roman" w:eastAsia="Times New Roman" w:hAnsi="Times New Roman"/>
          <w:sz w:val="18"/>
          <w:szCs w:val="18"/>
          <w:color w:val="auto"/>
        </w:rPr>
        <w:t>As of January 3, 2026, December 28, 2024 and December 30, 2023, the Company had gross unrecognized tax benefits, inclusive of interest, of $4.2 million, $4.7 million and $5.4 million, respectively, of which $1.8 million, $3.5 million and $5.1 million, respectively, would affect the effective tax rate if recognized.</w:t>
      </w:r>
    </w:p>
    <w:p>
      <w:pPr>
        <w:spacing w:after="0" w:line="176"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These amounts were not material for any of the periods presented.</w:t>
      </w:r>
    </w:p>
    <w:p>
      <w:pPr>
        <w:spacing w:after="0" w:line="163"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Norwegian Tax Administration (“NTA”) examination of the Company’s Norwegian subsidiary for income tax matters relating to fiscal years 2013 – 2016, the Company received an assessment from the NTA in December 2017 concerning an adjustment to its 2013 taxable income related to the pricing of an intercompany transaction. The adjustment would have resulted in approximately 141.3 million Norwegian kroner, or $14.0 million, additional Norwegian income tax. The Company disagreed with the NTA’s findings and appealed the assessment, concluding that the Company’s position was more likely than not to be sustained in the appeal. During fiscal 2025, the Norwegian Tax Appeals Board issued a formal decision in favor of the Company, rejecting the proposed adjustment to its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2013 tax liability. Because the Company did not previously establish a reserve related to the NTA assessment, there was no resulting financial statement impact for the final resolution of this matter.</w:t>
      </w:r>
    </w:p>
    <w:p>
      <w:pPr>
        <w:spacing w:after="0" w:line="163"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Tax years 2021 through 2025 remain open to examination by the major taxing jurisdictions in which the Company operates. The Company’s 2022 tax year is currently under examination in the U.S., and the Company’s 2022 through 2023 tax years are currently under examination in India. Although the outcome of tax audits is always uncertain, the Company believes that the results of the examination will not materially impact its financial position or results of operations and that it has accrued adequate reserves related to all matters contained in tax periods open to examination. The Company is not currently under audit in any other major taxing jurisdiction.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4"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Company has one operating segment, mixed-signal analog intensive products, consisting of numerous product areas. The Company’s chief operating decision maker (“CODM”) is its Chief Executive Officer. The CODM allocates resources and assesses performance of the business and other activities at the operating segment level. The CODM assesses performance for the operating segment and decides how to allocate resources based on net loss that is also reported on the Consolidated Statement of Operations as Consolidated Net loss. The measure of segment assets is reported on the Consolidated Balance Sheets as Total assets.</w:t>
      </w:r>
    </w:p>
    <w:p>
      <w:pPr>
        <w:spacing w:after="0" w:line="186"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The CODM uses net loss to evaluate income generated in deciding whether to reinvest profits into the segment or to use such profits for other purposes, such as for acquisitions or share repurchases. Net loss is used to monitor budget versus actual results. The CODM also uses net loss in competitive analyses by benchmarking to the Company’s competitors. The competitive analysis along with the monitoring of budget versus actual results are used in assessing performance of the segment, and in establishing management and variable compensation.</w:t>
      </w:r>
    </w:p>
    <w:p>
      <w:pPr>
        <w:spacing w:after="0" w:line="179" w:lineRule="exact"/>
        <w:rPr>
          <w:sz w:val="20"/>
          <w:szCs w:val="20"/>
          <w:color w:val="auto"/>
        </w:rPr>
      </w:pPr>
    </w:p>
    <w:p>
      <w:pPr>
        <w:ind w:right="840" w:firstLine="320"/>
        <w:spacing w:after="0" w:line="279" w:lineRule="auto"/>
        <w:rPr>
          <w:sz w:val="20"/>
          <w:szCs w:val="20"/>
          <w:color w:val="auto"/>
        </w:rPr>
      </w:pPr>
      <w:r>
        <w:rPr>
          <w:rFonts w:ascii="Times New Roman" w:cs="Times New Roman" w:eastAsia="Times New Roman" w:hAnsi="Times New Roman"/>
          <w:sz w:val="18"/>
          <w:szCs w:val="18"/>
          <w:color w:val="auto"/>
        </w:rPr>
        <w:t xml:space="preserve">The Company groups its products into two categories, based on the target markets they address. See Note 13,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a summary of the Company’s revenue by product category.</w:t>
      </w:r>
    </w:p>
    <w:p>
      <w:pPr>
        <w:spacing w:after="0" w:line="161"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Revenue is attributed to a geographic area based on the shipped-to location. The following summarizes the Company’s revenue by geographic area (in thousands):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r>
      <w:tr>
        <w:trPr>
          <w:trHeight w:val="24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219,741</w:t>
            </w:r>
          </w:p>
        </w:tc>
      </w:tr>
      <w:tr>
        <w:trPr>
          <w:trHeight w:val="26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90,382</w:t>
            </w:r>
          </w:p>
        </w:tc>
      </w:tr>
      <w:tr>
        <w:trPr>
          <w:trHeight w:val="24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262,294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379,585</w:t>
            </w:r>
          </w:p>
        </w:tc>
      </w:tr>
      <w:tr>
        <w:trPr>
          <w:trHeight w:val="27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 (Continued)</w:t>
      </w:r>
    </w:p>
    <w:p>
      <w:pPr>
        <w:spacing w:after="0" w:line="357"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The CODM regularly reviews the Consolidated Statement of Operations and a disaggregation of operating expenses, of which the significant expenses are related to employee base compensation. The following summarizes the significant and other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130,979</w:t>
            </w:r>
          </w:p>
        </w:tc>
        <w:tc>
          <w:tcPr>
            <w:tcW w:w="80" w:type="dxa"/>
            <w:vAlign w:val="bottom"/>
          </w:tcPr>
          <w:p>
            <w:pPr>
              <w:spacing w:after="0"/>
              <w:rPr>
                <w:sz w:val="22"/>
                <w:szCs w:val="22"/>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100" w:type="dxa"/>
            <w:vAlign w:val="bottom"/>
          </w:tcPr>
          <w:p>
            <w:pPr>
              <w:spacing w:after="0"/>
              <w:rPr>
                <w:sz w:val="22"/>
                <w:szCs w:val="22"/>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124,850</w:t>
            </w:r>
          </w:p>
        </w:tc>
      </w:tr>
      <w:tr>
        <w:trPr>
          <w:trHeight w:val="27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research and development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222,267</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212,894</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353,246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337,744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54,588</w:t>
            </w:r>
          </w:p>
        </w:tc>
      </w:tr>
      <w:tr>
        <w:trPr>
          <w:trHeight w:val="267"/>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selling, general and administrative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119,251</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92,408</w:t>
            </w:r>
          </w:p>
        </w:tc>
      </w:tr>
      <w:tr>
        <w:trPr>
          <w:trHeight w:val="27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right="100" w:firstLine="7"/>
        <w:spacing w:after="0" w:line="300" w:lineRule="auto"/>
        <w:tabs>
          <w:tab w:leader="none" w:pos="483"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research and development and selling, general and administrative expenses include other personnel-related expenses, outside services, software expense, depreciation, amortization, and other expenses.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Company’s property and equipment, net by geographic area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7"/>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r>
      <w:tr>
        <w:trPr>
          <w:trHeight w:val="24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7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4" w:lineRule="exact"/>
        <w:rPr>
          <w:sz w:val="20"/>
          <w:szCs w:val="20"/>
          <w:color w:val="auto"/>
        </w:rPr>
      </w:pPr>
    </w:p>
    <w:p>
      <w:pPr>
        <w:ind w:right="80" w:firstLine="320"/>
        <w:spacing w:after="0" w:line="268" w:lineRule="auto"/>
        <w:rPr>
          <w:sz w:val="20"/>
          <w:szCs w:val="20"/>
          <w:color w:val="auto"/>
        </w:rPr>
      </w:pPr>
      <w:r>
        <w:rPr>
          <w:rFonts w:ascii="Times New Roman" w:cs="Times New Roman" w:eastAsia="Times New Roman" w:hAnsi="Times New Roman"/>
          <w:sz w:val="17"/>
          <w:szCs w:val="17"/>
          <w:color w:val="auto"/>
        </w:rPr>
        <w:t>On February 4, 2026, the Company entered into an Agreement and Plan of Merger (the “Merger Agreement”) with Texas Instruments Incorporated, a Delaware corporation (“Parent”), and Caldwell Merger Corp., a Delaware corporation and wholly-owned direct subsidiary of Parent (“Merger Subsidiary”), pursuant to which Merger Subsidiary will merge with and into the Company (the “Merger”), and the Company will survive the Merger as a wholly-owned direct subsidiary of Parent. At the effective time of the Merger, each share of the Company’s common stock outstanding as of immediately prior to the effective time (other than dissenting shares or any shares of the Company’s common stock held by the Company as treasury stock or owned by Parent or any of the Company’s or Parent’s subsidiaries) will be cancelled and converted into the right to receive $231.00 in cash, without interest. The transactions contemplated by the Merger Agreement were unanimously approved by the Company’s board of directors, and the Merger is expected to close in the first half of 2027, subject to customary closing conditions, including approval by the Company’s stockholders and the receipt of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SILICON LABORATORIES INC.</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2009 STOCK INCENTIVE PLAN</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PERFORMANCE STOCK UNITS GRANT NOTICE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PSU AWARD AGREEMENT</w:t>
      </w:r>
    </w:p>
    <w:p>
      <w:pPr>
        <w:spacing w:after="0" w:line="192"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8"/>
          <w:szCs w:val="18"/>
          <w:color w:val="auto"/>
        </w:rPr>
        <w:t>Silicon Laboratories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2009 Stock Incentive Plan, as amended and restated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the holder listed below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Performance Stock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of which is a bookkeeping entry representing the equivalent in value of one (1) Share, on the terms and conditions set forth herein and in the Global PSU Award Agreement attached hereto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xml:space="preserve">”), including any country-specific terms and conditions set forth in an addendum to such agreement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Plan, which are incorporated herein by reference. Unless otherwise defined herein, the terms defined in the Plan shall have the same defined meanings in this Grant Notice and the Award Agreement.</w:t>
      </w:r>
    </w:p>
    <w:p>
      <w:pPr>
        <w:spacing w:after="0" w:line="175" w:lineRule="exact"/>
        <w:rPr>
          <w:sz w:val="20"/>
          <w:szCs w:val="20"/>
          <w:color w:val="auto"/>
        </w:rPr>
      </w:pPr>
    </w:p>
    <w:tbl>
      <w:tblPr>
        <w:tblLayout w:type="fixed"/>
        <w:tblInd w:w="740" w:type="dxa"/>
        <w:tblCellMar>
          <w:top w:w="0" w:type="dxa"/>
          <w:left w:w="0" w:type="dxa"/>
          <w:bottom w:w="0" w:type="dxa"/>
          <w:right w:w="0" w:type="dxa"/>
        </w:tblCellMar>
      </w:tblPr>
      <w:tr>
        <w:trPr>
          <w:trHeight w:val="250"/>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7100" w:type="dxa"/>
            <w:vAlign w:val="bottom"/>
            <w:gridSpan w:val="7"/>
          </w:tcPr>
          <w:p>
            <w:pPr>
              <w:ind w:left="340"/>
              <w:spacing w:after="0"/>
              <w:rPr>
                <w:sz w:val="20"/>
                <w:szCs w:val="20"/>
                <w:color w:val="auto"/>
              </w:rPr>
            </w:pPr>
            <w:r>
              <w:rPr>
                <w:rFonts w:ascii="Times New Roman" w:cs="Times New Roman" w:eastAsia="Times New Roman" w:hAnsi="Times New Roman"/>
                <w:sz w:val="20"/>
                <w:szCs w:val="20"/>
                <w:color w:val="auto"/>
                <w:w w:val="98"/>
              </w:rPr>
              <w:t>200% of the Target Number of Units, subject to adjustment as provided by the Award</w:t>
            </w:r>
          </w:p>
        </w:tc>
        <w:tc>
          <w:tcPr>
            <w:tcW w:w="0" w:type="dxa"/>
            <w:vAlign w:val="bottom"/>
          </w:tcPr>
          <w:p>
            <w:pPr>
              <w:spacing w:after="0"/>
              <w:rPr>
                <w:sz w:val="1"/>
                <w:szCs w:val="1"/>
                <w:color w:val="auto"/>
              </w:rPr>
            </w:pPr>
          </w:p>
        </w:tc>
      </w:tr>
      <w:tr>
        <w:trPr>
          <w:trHeight w:val="240"/>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7100" w:type="dxa"/>
            <w:vAlign w:val="bottom"/>
            <w:gridSpan w:val="7"/>
          </w:tcPr>
          <w:p>
            <w:pPr>
              <w:ind w:left="34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200"/>
        </w:trPr>
        <w:tc>
          <w:tcPr>
            <w:tcW w:w="2740" w:type="dxa"/>
            <w:vAlign w:val="bottom"/>
            <w:vMerge w:val="continue"/>
          </w:tcPr>
          <w:p>
            <w:pPr>
              <w:spacing w:after="0"/>
              <w:rPr>
                <w:sz w:val="17"/>
                <w:szCs w:val="17"/>
                <w:color w:val="auto"/>
              </w:rPr>
            </w:pPr>
          </w:p>
        </w:tc>
        <w:tc>
          <w:tcPr>
            <w:tcW w:w="7100" w:type="dxa"/>
            <w:vAlign w:val="bottom"/>
            <w:gridSpan w:val="7"/>
          </w:tcPr>
          <w:p>
            <w:pPr>
              <w:ind w:left="340"/>
              <w:spacing w:after="0" w:line="200" w:lineRule="exact"/>
              <w:rPr>
                <w:sz w:val="20"/>
                <w:szCs w:val="20"/>
                <w:color w:val="auto"/>
              </w:rPr>
            </w:pPr>
            <w:r>
              <w:rPr>
                <w:rFonts w:ascii="Times New Roman" w:cs="Times New Roman" w:eastAsia="Times New Roman" w:hAnsi="Times New Roman"/>
                <w:sz w:val="20"/>
                <w:szCs w:val="20"/>
                <w:color w:val="auto"/>
                <w:w w:val="99"/>
              </w:rPr>
              <w:t>The three fiscal years of the Company ending [ ] subject to Section 9.1 of the Award</w:t>
            </w:r>
          </w:p>
        </w:tc>
        <w:tc>
          <w:tcPr>
            <w:tcW w:w="0" w:type="dxa"/>
            <w:vAlign w:val="bottom"/>
          </w:tcPr>
          <w:p>
            <w:pPr>
              <w:spacing w:after="0"/>
              <w:rPr>
                <w:sz w:val="1"/>
                <w:szCs w:val="1"/>
                <w:color w:val="auto"/>
              </w:rPr>
            </w:pPr>
          </w:p>
        </w:tc>
      </w:tr>
      <w:tr>
        <w:trPr>
          <w:trHeight w:val="254"/>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Goals:</w:t>
            </w:r>
          </w:p>
        </w:tc>
        <w:tc>
          <w:tcPr>
            <w:tcW w:w="7100" w:type="dxa"/>
            <w:vAlign w:val="bottom"/>
            <w:gridSpan w:val="7"/>
          </w:tcPr>
          <w:p>
            <w:pPr>
              <w:ind w:left="34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240"/>
        </w:trPr>
        <w:tc>
          <w:tcPr>
            <w:tcW w:w="2740" w:type="dxa"/>
            <w:vAlign w:val="bottom"/>
            <w:vMerge w:val="continue"/>
          </w:tcPr>
          <w:p>
            <w:pPr>
              <w:spacing w:after="0"/>
              <w:rPr>
                <w:sz w:val="20"/>
                <w:szCs w:val="20"/>
                <w:color w:val="auto"/>
              </w:rPr>
            </w:pPr>
          </w:p>
        </w:tc>
        <w:tc>
          <w:tcPr>
            <w:tcW w:w="710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w w:val="98"/>
              </w:rPr>
              <w:t>Subject to Section 9.1 of the Award Agreement, Units will be earned based upon the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7100" w:type="dxa"/>
            <w:vAlign w:val="bottom"/>
            <w:gridSpan w:val="7"/>
          </w:tcPr>
          <w:p>
            <w:pPr>
              <w:ind w:left="400"/>
              <w:spacing w:after="0" w:line="209" w:lineRule="exact"/>
              <w:rPr>
                <w:sz w:val="20"/>
                <w:szCs w:val="20"/>
                <w:color w:val="auto"/>
              </w:rPr>
            </w:pPr>
            <w:r>
              <w:rPr>
                <w:rFonts w:ascii="Times New Roman" w:cs="Times New Roman" w:eastAsia="Times New Roman" w:hAnsi="Times New Roman"/>
                <w:sz w:val="20"/>
                <w:szCs w:val="20"/>
                <w:color w:val="auto"/>
              </w:rPr>
              <w:t>level of achievement of Performance Goals as described in Appendix A.</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Earned Units:</w:t>
            </w:r>
          </w:p>
        </w:tc>
        <w:tc>
          <w:tcPr>
            <w:tcW w:w="32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740" w:type="dxa"/>
            <w:vAlign w:val="bottom"/>
            <w:vMerge w:val="continue"/>
          </w:tcPr>
          <w:p>
            <w:pPr>
              <w:spacing w:after="0"/>
              <w:rPr>
                <w:sz w:val="24"/>
                <w:szCs w:val="24"/>
                <w:color w:val="auto"/>
              </w:rPr>
            </w:pPr>
          </w:p>
        </w:tc>
        <w:tc>
          <w:tcPr>
            <w:tcW w:w="710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Subject to Section 9.1 of the Award Agreement, the number of Earned Units</w:t>
            </w:r>
          </w:p>
        </w:tc>
        <w:tc>
          <w:tcPr>
            <w:tcW w:w="0" w:type="dxa"/>
            <w:vAlign w:val="bottom"/>
          </w:tcPr>
          <w:p>
            <w:pPr>
              <w:spacing w:after="0"/>
              <w:rPr>
                <w:sz w:val="1"/>
                <w:szCs w:val="1"/>
                <w:color w:val="auto"/>
              </w:rPr>
            </w:pPr>
          </w:p>
        </w:tc>
      </w:tr>
      <w:tr>
        <w:trPr>
          <w:trHeight w:val="227"/>
        </w:trPr>
        <w:tc>
          <w:tcPr>
            <w:tcW w:w="2740" w:type="dxa"/>
            <w:vAlign w:val="bottom"/>
          </w:tcPr>
          <w:p>
            <w:pPr>
              <w:spacing w:after="0"/>
              <w:rPr>
                <w:sz w:val="19"/>
                <w:szCs w:val="19"/>
                <w:color w:val="auto"/>
              </w:rPr>
            </w:pPr>
          </w:p>
        </w:tc>
        <w:tc>
          <w:tcPr>
            <w:tcW w:w="7100" w:type="dxa"/>
            <w:vAlign w:val="bottom"/>
            <w:gridSpan w:val="7"/>
          </w:tcPr>
          <w:p>
            <w:pPr>
              <w:ind w:left="400"/>
              <w:spacing w:after="0" w:line="227" w:lineRule="exact"/>
              <w:rPr>
                <w:sz w:val="20"/>
                <w:szCs w:val="20"/>
                <w:color w:val="auto"/>
              </w:rPr>
            </w:pPr>
            <w:r>
              <w:rPr>
                <w:rFonts w:ascii="Times New Roman" w:cs="Times New Roman" w:eastAsia="Times New Roman" w:hAnsi="Times New Roman"/>
                <w:sz w:val="20"/>
                <w:szCs w:val="20"/>
                <w:color w:val="auto"/>
                <w:w w:val="99"/>
              </w:rPr>
              <w:t>(rounded to the nearest whole Unit), if any (not to exceed the Maximum Number of</w:t>
            </w: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p>
        </w:tc>
        <w:tc>
          <w:tcPr>
            <w:tcW w:w="710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Units) for the Performance Period, is determined following completion of the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7100" w:type="dxa"/>
            <w:vAlign w:val="bottom"/>
            <w:gridSpan w:val="7"/>
          </w:tcPr>
          <w:p>
            <w:pPr>
              <w:ind w:left="400"/>
              <w:spacing w:after="0" w:line="209" w:lineRule="exact"/>
              <w:rPr>
                <w:sz w:val="20"/>
                <w:szCs w:val="20"/>
                <w:color w:val="auto"/>
              </w:rPr>
            </w:pPr>
            <w:r>
              <w:rPr>
                <w:rFonts w:ascii="Times New Roman" w:cs="Times New Roman" w:eastAsia="Times New Roman" w:hAnsi="Times New Roman"/>
                <w:sz w:val="20"/>
                <w:szCs w:val="20"/>
                <w:color w:val="auto"/>
              </w:rPr>
              <w:t>Performance Period as described in Appendix A.</w:t>
            </w:r>
          </w:p>
        </w:tc>
        <w:tc>
          <w:tcPr>
            <w:tcW w:w="0" w:type="dxa"/>
            <w:vAlign w:val="bottom"/>
          </w:tcPr>
          <w:p>
            <w:pPr>
              <w:spacing w:after="0"/>
              <w:rPr>
                <w:sz w:val="1"/>
                <w:szCs w:val="1"/>
                <w:color w:val="auto"/>
              </w:rPr>
            </w:pPr>
          </w:p>
        </w:tc>
      </w:tr>
      <w:tr>
        <w:trPr>
          <w:trHeight w:val="474"/>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 ]</w:t>
            </w:r>
          </w:p>
        </w:tc>
        <w:tc>
          <w:tcPr>
            <w:tcW w:w="26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4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Vested Units:</w:t>
            </w:r>
          </w:p>
        </w:tc>
        <w:tc>
          <w:tcPr>
            <w:tcW w:w="7100" w:type="dxa"/>
            <w:vAlign w:val="bottom"/>
            <w:gridSpan w:val="7"/>
          </w:tcPr>
          <w:p>
            <w:pPr>
              <w:ind w:left="340"/>
              <w:spacing w:after="0" w:line="205" w:lineRule="exact"/>
              <w:rPr>
                <w:sz w:val="20"/>
                <w:szCs w:val="20"/>
                <w:color w:val="auto"/>
              </w:rPr>
            </w:pPr>
            <w:r>
              <w:rPr>
                <w:rFonts w:ascii="Times New Roman" w:cs="Times New Roman" w:eastAsia="Times New Roman" w:hAnsi="Times New Roman"/>
                <w:sz w:val="20"/>
                <w:szCs w:val="20"/>
                <w:color w:val="auto"/>
              </w:rPr>
              <w:t>Provided that the Participant’s Service (as defined in Section 5.1 of the Award</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7100" w:type="dxa"/>
            <w:vAlign w:val="bottom"/>
            <w:gridSpan w:val="7"/>
          </w:tcPr>
          <w:p>
            <w:pPr>
              <w:ind w:left="340"/>
              <w:spacing w:after="0" w:line="196" w:lineRule="exact"/>
              <w:rPr>
                <w:sz w:val="20"/>
                <w:szCs w:val="20"/>
                <w:color w:val="auto"/>
              </w:rPr>
            </w:pPr>
            <w:r>
              <w:rPr>
                <w:rFonts w:ascii="Times New Roman" w:cs="Times New Roman" w:eastAsia="Times New Roman" w:hAnsi="Times New Roman"/>
                <w:sz w:val="20"/>
                <w:szCs w:val="20"/>
                <w:color w:val="auto"/>
              </w:rPr>
              <w:t>Agreement) has not terminated prior to the Vesting Date (except as otherwise</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7100" w:type="dxa"/>
            <w:vAlign w:val="bottom"/>
            <w:gridSpan w:val="7"/>
          </w:tcPr>
          <w:p>
            <w:pPr>
              <w:ind w:left="340"/>
              <w:spacing w:after="0" w:line="190" w:lineRule="exact"/>
              <w:rPr>
                <w:sz w:val="20"/>
                <w:szCs w:val="20"/>
                <w:color w:val="auto"/>
              </w:rPr>
            </w:pPr>
            <w:r>
              <w:rPr>
                <w:rFonts w:ascii="Times New Roman" w:cs="Times New Roman" w:eastAsia="Times New Roman" w:hAnsi="Times New Roman"/>
                <w:sz w:val="20"/>
                <w:szCs w:val="20"/>
                <w:color w:val="auto"/>
              </w:rPr>
              <w:t>provided by the Award Agreement), the Earned Units, if any, shall become Vested</w:t>
            </w:r>
          </w:p>
        </w:tc>
        <w:tc>
          <w:tcPr>
            <w:tcW w:w="0" w:type="dxa"/>
            <w:vAlign w:val="bottom"/>
          </w:tcPr>
          <w:p>
            <w:pPr>
              <w:spacing w:after="0"/>
              <w:rPr>
                <w:sz w:val="1"/>
                <w:szCs w:val="1"/>
                <w:color w:val="auto"/>
              </w:rPr>
            </w:pPr>
          </w:p>
        </w:tc>
      </w:tr>
      <w:tr>
        <w:trPr>
          <w:trHeight w:val="254"/>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7100" w:type="dxa"/>
            <w:vAlign w:val="bottom"/>
            <w:gridSpan w:val="7"/>
          </w:tcPr>
          <w:p>
            <w:pPr>
              <w:ind w:left="340"/>
              <w:spacing w:after="0"/>
              <w:rPr>
                <w:sz w:val="20"/>
                <w:szCs w:val="20"/>
                <w:color w:val="auto"/>
              </w:rPr>
            </w:pPr>
            <w:r>
              <w:rPr>
                <w:rFonts w:ascii="Times New Roman" w:cs="Times New Roman" w:eastAsia="Times New Roman" w:hAnsi="Times New Roman"/>
                <w:sz w:val="20"/>
                <w:szCs w:val="20"/>
                <w:color w:val="auto"/>
              </w:rPr>
              <w:t>Units on the Vesting Date.</w:t>
            </w:r>
          </w:p>
        </w:tc>
        <w:tc>
          <w:tcPr>
            <w:tcW w:w="0" w:type="dxa"/>
            <w:vAlign w:val="bottom"/>
          </w:tcPr>
          <w:p>
            <w:pPr>
              <w:spacing w:after="0"/>
              <w:rPr>
                <w:sz w:val="1"/>
                <w:szCs w:val="1"/>
                <w:color w:val="auto"/>
              </w:rPr>
            </w:pPr>
          </w:p>
        </w:tc>
      </w:tr>
      <w:tr>
        <w:trPr>
          <w:trHeight w:val="200"/>
        </w:trPr>
        <w:tc>
          <w:tcPr>
            <w:tcW w:w="2740" w:type="dxa"/>
            <w:vAlign w:val="bottom"/>
            <w:vMerge w:val="continue"/>
          </w:tcPr>
          <w:p>
            <w:pPr>
              <w:spacing w:after="0"/>
              <w:rPr>
                <w:sz w:val="17"/>
                <w:szCs w:val="17"/>
                <w:color w:val="auto"/>
              </w:rPr>
            </w:pPr>
          </w:p>
        </w:tc>
        <w:tc>
          <w:tcPr>
            <w:tcW w:w="7100" w:type="dxa"/>
            <w:vAlign w:val="bottom"/>
            <w:gridSpan w:val="7"/>
          </w:tcPr>
          <w:p>
            <w:pPr>
              <w:ind w:left="340"/>
              <w:spacing w:after="0" w:line="200" w:lineRule="exact"/>
              <w:rPr>
                <w:sz w:val="20"/>
                <w:szCs w:val="20"/>
                <w:color w:val="auto"/>
              </w:rPr>
            </w:pPr>
            <w:r>
              <w:rPr>
                <w:rFonts w:ascii="Times New Roman" w:cs="Times New Roman" w:eastAsia="Times New Roman" w:hAnsi="Times New Roman"/>
                <w:sz w:val="20"/>
                <w:szCs w:val="20"/>
                <w:color w:val="auto"/>
                <w:w w:val="99"/>
              </w:rPr>
              <w:t>For each Vested Unit, except as otherwise provided by the Award Agreement, a date</w:t>
            </w:r>
          </w:p>
        </w:tc>
        <w:tc>
          <w:tcPr>
            <w:tcW w:w="0" w:type="dxa"/>
            <w:vAlign w:val="bottom"/>
          </w:tcPr>
          <w:p>
            <w:pPr>
              <w:spacing w:after="0"/>
              <w:rPr>
                <w:sz w:val="1"/>
                <w:szCs w:val="1"/>
                <w:color w:val="auto"/>
              </w:rPr>
            </w:pPr>
          </w:p>
        </w:tc>
      </w:tr>
      <w:tr>
        <w:trPr>
          <w:trHeight w:val="254"/>
        </w:trPr>
        <w:tc>
          <w:tcPr>
            <w:tcW w:w="2740" w:type="dxa"/>
            <w:vAlign w:val="bottom"/>
          </w:tcPr>
          <w:p>
            <w:pPr>
              <w:spacing w:after="0"/>
              <w:rPr>
                <w:sz w:val="22"/>
                <w:szCs w:val="22"/>
                <w:color w:val="auto"/>
              </w:rPr>
            </w:pPr>
          </w:p>
        </w:tc>
        <w:tc>
          <w:tcPr>
            <w:tcW w:w="7100" w:type="dxa"/>
            <w:vAlign w:val="bottom"/>
            <w:gridSpan w:val="7"/>
          </w:tcPr>
          <w:p>
            <w:pPr>
              <w:ind w:left="340"/>
              <w:spacing w:after="0"/>
              <w:rPr>
                <w:sz w:val="20"/>
                <w:szCs w:val="20"/>
                <w:color w:val="auto"/>
              </w:rPr>
            </w:pPr>
            <w:r>
              <w:rPr>
                <w:rFonts w:ascii="Times New Roman" w:cs="Times New Roman" w:eastAsia="Times New Roman" w:hAnsi="Times New Roman"/>
                <w:sz w:val="20"/>
                <w:szCs w:val="20"/>
                <w:color w:val="auto"/>
              </w:rPr>
              <w:t>occurring no later than ten (10) days following the Vesting Date.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 w:right="339" w:bottom="1440" w:gutter="0" w:footer="0" w:header="0"/>
        </w:sectPr>
      </w:pPr>
    </w:p>
    <w:bookmarkStart w:id="83" w:name="page84"/>
    <w:bookmarkEnd w:id="83"/>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By his or her signature below or by electronic acceptance or authentication in a form authorized by the Company, the Participant agrees to be bound by the terms and conditions of the Plan, the Award Agreement, including the Addendum, and this Grant Notice. The Participant has reviewed the Award Agreement, the Addendum, the Plan and this Grant Notice in their entirety, has had an opportunity to obtain the advice of counsel prior to executing this Grant Notice and fully understands all provisions of this Grant Notice, the Award Agreement, the Addendum and the Plan. The Participant hereby agrees to accept as binding, conclusive and final all decisions or interpretations of the Committee upon any questions arising under the Plan or relating to the Units.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SILICON LABORATORIES INC.</w:t>
            </w:r>
          </w:p>
        </w:tc>
        <w:tc>
          <w:tcPr>
            <w:tcW w:w="2660" w:type="dxa"/>
            <w:vAlign w:val="bottom"/>
          </w:tcPr>
          <w:p>
            <w:pPr>
              <w:ind w:left="1340"/>
              <w:spacing w:after="0"/>
              <w:rPr>
                <w:sz w:val="20"/>
                <w:szCs w:val="20"/>
                <w:color w:val="auto"/>
              </w:rPr>
            </w:pPr>
            <w:r>
              <w:rPr>
                <w:rFonts w:ascii="Times New Roman" w:cs="Times New Roman" w:eastAsia="Times New Roman" w:hAnsi="Times New Roman"/>
                <w:sz w:val="20"/>
                <w:szCs w:val="20"/>
                <w:b w:val="1"/>
                <w:bCs w:val="1"/>
                <w:color w:val="auto"/>
                <w:w w:val="93"/>
              </w:rPr>
              <w:t>PARTICIPANT</w:t>
            </w:r>
          </w:p>
        </w:tc>
      </w:tr>
      <w:tr>
        <w:trPr>
          <w:trHeight w:val="19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17"/>
                <w:szCs w:val="17"/>
                <w:color w:val="auto"/>
              </w:rPr>
            </w:pPr>
          </w:p>
        </w:tc>
        <w:tc>
          <w:tcPr>
            <w:tcW w:w="2360" w:type="dxa"/>
            <w:vAlign w:val="bottom"/>
            <w:gridSpan w:val="2"/>
          </w:tcPr>
          <w:p>
            <w:pPr>
              <w:spacing w:after="0"/>
              <w:rPr>
                <w:sz w:val="17"/>
                <w:szCs w:val="17"/>
                <w:color w:val="auto"/>
              </w:rPr>
            </w:pPr>
          </w:p>
        </w:tc>
        <w:tc>
          <w:tcPr>
            <w:tcW w:w="2660" w:type="dxa"/>
            <w:vAlign w:val="bottom"/>
          </w:tcPr>
          <w:p>
            <w:pPr>
              <w:ind w:left="1340"/>
              <w:spacing w:after="0" w:line="176" w:lineRule="exact"/>
              <w:rPr>
                <w:sz w:val="20"/>
                <w:szCs w:val="20"/>
                <w:color w:val="auto"/>
              </w:rPr>
            </w:pPr>
            <w:r>
              <w:rPr>
                <w:rFonts w:ascii="Times New Roman" w:cs="Times New Roman" w:eastAsia="Times New Roman" w:hAnsi="Times New Roman"/>
                <w:sz w:val="20"/>
                <w:szCs w:val="20"/>
                <w:color w:val="auto"/>
              </w:rPr>
              <w:t>By:</w:t>
            </w:r>
          </w:p>
        </w:tc>
      </w:tr>
      <w:tr>
        <w:trPr>
          <w:trHeight w:val="234"/>
        </w:trPr>
        <w:tc>
          <w:tcPr>
            <w:tcW w:w="1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Print Name:</w:t>
            </w:r>
          </w:p>
        </w:tc>
        <w:tc>
          <w:tcPr>
            <w:tcW w:w="200" w:type="dxa"/>
            <w:vAlign w:val="bottom"/>
            <w:tcBorders>
              <w:bottom w:val="single" w:sz="8" w:color="auto"/>
            </w:tcBorders>
          </w:tcPr>
          <w:p>
            <w:pPr>
              <w:spacing w:after="0"/>
              <w:rPr>
                <w:sz w:val="20"/>
                <w:szCs w:val="20"/>
                <w:color w:val="auto"/>
              </w:rPr>
            </w:pPr>
          </w:p>
        </w:tc>
        <w:tc>
          <w:tcPr>
            <w:tcW w:w="2360" w:type="dxa"/>
            <w:vAlign w:val="bottom"/>
            <w:gridSpan w:val="2"/>
          </w:tcPr>
          <w:p>
            <w:pPr>
              <w:spacing w:after="0"/>
              <w:rPr>
                <w:sz w:val="20"/>
                <w:szCs w:val="20"/>
                <w:color w:val="auto"/>
              </w:rPr>
            </w:pPr>
          </w:p>
        </w:tc>
        <w:tc>
          <w:tcPr>
            <w:tcW w:w="2660" w:type="dxa"/>
            <w:vAlign w:val="bottom"/>
          </w:tcPr>
          <w:p>
            <w:pPr>
              <w:ind w:left="1340"/>
              <w:spacing w:after="0" w:line="220" w:lineRule="exact"/>
              <w:rPr>
                <w:sz w:val="20"/>
                <w:szCs w:val="20"/>
                <w:color w:val="auto"/>
              </w:rPr>
            </w:pPr>
            <w:r>
              <w:rPr>
                <w:rFonts w:ascii="Times New Roman" w:cs="Times New Roman" w:eastAsia="Times New Roman" w:hAnsi="Times New Roman"/>
                <w:sz w:val="20"/>
                <w:szCs w:val="20"/>
                <w:color w:val="auto"/>
              </w:rPr>
              <w:t>Print Name:</w:t>
            </w:r>
          </w:p>
        </w:tc>
      </w:tr>
      <w:tr>
        <w:trPr>
          <w:trHeight w:val="234"/>
        </w:trPr>
        <w:tc>
          <w:tcPr>
            <w:tcW w:w="1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Title:</w:t>
            </w:r>
          </w:p>
        </w:tc>
        <w:tc>
          <w:tcPr>
            <w:tcW w:w="200" w:type="dxa"/>
            <w:vAlign w:val="bottom"/>
            <w:tcBorders>
              <w:bottom w:val="single" w:sz="8" w:color="auto"/>
            </w:tcBorders>
          </w:tcPr>
          <w:p>
            <w:pPr>
              <w:spacing w:after="0"/>
              <w:rPr>
                <w:sz w:val="20"/>
                <w:szCs w:val="20"/>
                <w:color w:val="auto"/>
              </w:rPr>
            </w:pPr>
          </w:p>
        </w:tc>
        <w:tc>
          <w:tcPr>
            <w:tcW w:w="2360" w:type="dxa"/>
            <w:vAlign w:val="bottom"/>
            <w:gridSpan w:val="2"/>
          </w:tcPr>
          <w:p>
            <w:pPr>
              <w:spacing w:after="0"/>
              <w:rPr>
                <w:sz w:val="20"/>
                <w:szCs w:val="20"/>
                <w:color w:val="auto"/>
              </w:rPr>
            </w:pPr>
          </w:p>
        </w:tc>
        <w:tc>
          <w:tcPr>
            <w:tcW w:w="2660" w:type="dxa"/>
            <w:vAlign w:val="bottom"/>
          </w:tcPr>
          <w:p>
            <w:pPr>
              <w:spacing w:after="0"/>
              <w:rPr>
                <w:sz w:val="20"/>
                <w:szCs w:val="20"/>
                <w:color w:val="auto"/>
              </w:rPr>
            </w:pPr>
          </w:p>
        </w:tc>
      </w:tr>
      <w:tr>
        <w:trPr>
          <w:trHeight w:val="234"/>
        </w:trPr>
        <w:tc>
          <w:tcPr>
            <w:tcW w:w="42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Address:</w:t>
            </w:r>
          </w:p>
        </w:tc>
        <w:tc>
          <w:tcPr>
            <w:tcW w:w="2660" w:type="dxa"/>
            <w:vAlign w:val="bottom"/>
          </w:tcPr>
          <w:p>
            <w:pPr>
              <w:ind w:left="1340"/>
              <w:spacing w:after="0" w:line="220" w:lineRule="exact"/>
              <w:rPr>
                <w:sz w:val="20"/>
                <w:szCs w:val="20"/>
                <w:color w:val="auto"/>
              </w:rPr>
            </w:pPr>
            <w:r>
              <w:rPr>
                <w:rFonts w:ascii="Times New Roman" w:cs="Times New Roman" w:eastAsia="Times New Roman" w:hAnsi="Times New Roman"/>
                <w:sz w:val="20"/>
                <w:szCs w:val="20"/>
                <w:color w:val="auto"/>
              </w:rPr>
              <w:t>Address:</w:t>
            </w:r>
          </w:p>
        </w:tc>
      </w:tr>
      <w:tr>
        <w:trPr>
          <w:trHeight w:val="234"/>
        </w:trPr>
        <w:tc>
          <w:tcPr>
            <w:tcW w:w="1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-651510</wp:posOffset>
            </wp:positionV>
            <wp:extent cx="1244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-490855</wp:posOffset>
            </wp:positionV>
            <wp:extent cx="1244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-168910</wp:posOffset>
            </wp:positionV>
            <wp:extent cx="2482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-7620</wp:posOffset>
            </wp:positionV>
            <wp:extent cx="124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GOALS UNDER GLOBAL PSU AWARD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Subject to Section 9.1 of the Award Agreement, the number of Earned Units (rounded to the nearest whole Unit), if any (not to exceed the Maximum Number of Units) for the Performance Period shall equal the sum of (a) 50% of the Target Number of Units multiplied by the Average Revenue Growth Rate Payout Percent plus (b) 50% of the Target Number of Units multiplied by the Average Non-GAAP Operating Income Margin Payout Percent.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calculating the number of Earned Units, the following terms shall have the following meanings:</w:t>
      </w:r>
    </w:p>
    <w:p>
      <w:pPr>
        <w:spacing w:after="0" w:line="200" w:lineRule="exact"/>
        <w:rPr>
          <w:sz w:val="20"/>
          <w:szCs w:val="20"/>
          <w:color w:val="auto"/>
        </w:rPr>
      </w:pPr>
    </w:p>
    <w:p>
      <w:pPr>
        <w:spacing w:after="0" w:line="2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Average Revenue Growth Rate Payout Percent</w:t>
      </w:r>
      <w:r>
        <w:rPr>
          <w:rFonts w:ascii="Times New Roman" w:cs="Times New Roman" w:eastAsia="Times New Roman" w:hAnsi="Times New Roman"/>
          <w:sz w:val="18"/>
          <w:szCs w:val="18"/>
          <w:color w:val="auto"/>
        </w:rPr>
        <w:t>” equals (i) the Revenue Growth Rate Payout Percent for Year 1, plus (ii) the Revenue Growth Rate Payout Percent for Year 2, plus (iii) the Revenue Growth Rate Payout Percent for Year 3, with such sum divided by 3. For example, if the Revenue Growth Rate Payout Percent for Year 1 is 0%, the Revenue Growth Rate Payout Percent for Year 2 is 200% and the Revenue Growth Rate Payout Percent for Year 3 is 100%, then the Average Revenue Growth Rate Payout Percent would be 100% (equal to 300% divided by 3).</w:t>
      </w:r>
    </w:p>
    <w:p>
      <w:pPr>
        <w:spacing w:after="0" w:line="15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Average Non-GAAP Operating Income Margin Payout Percent</w:t>
      </w:r>
      <w:r>
        <w:rPr>
          <w:rFonts w:ascii="Times New Roman" w:cs="Times New Roman" w:eastAsia="Times New Roman" w:hAnsi="Times New Roman"/>
          <w:sz w:val="18"/>
          <w:szCs w:val="18"/>
          <w:color w:val="auto"/>
        </w:rPr>
        <w:t>” equals (i) the Non-GAAP Operating Income Margin Payout Percent for Year 1, (ii) the Non-GAAP Operating Income Margin Payout Percent for Year 2, and (iii) the Non-GAAP Operating Income Margin Payout Percent for Year 3, with such sum divided by 3. For example, if the Non-GAAP Operating Income Margin Payout Percent for Year 1 is 100%, the Non-GAAP Operating Income Margin Payout Percent for Year 2 is 200% and the Non-GAAP Operating Income Margin Payout Percent for Year 3 is 150%, then the Average Non-GAAP Operating Income Margin Payout Percent would be 150% (equal to 450% divided by 3).</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Growth Rate</w:t>
      </w:r>
      <w:r>
        <w:rPr>
          <w:rFonts w:ascii="Times New Roman" w:cs="Times New Roman" w:eastAsia="Times New Roman" w:hAnsi="Times New Roman"/>
          <w:sz w:val="20"/>
          <w:szCs w:val="20"/>
          <w:color w:val="auto"/>
        </w:rPr>
        <w:t>” means for each fiscal year of the Performance Period, the Revenue for such fiscal year minus the Revenue for the preceding fiscal year with such result divided by the Revenue for such preceding fiscal year. For example, if Revenue for Year 1 is $750,000,000 and Revenue for Year 2 is $900,000,000, then the Year 2 Revenue Growth Rate would equal 20% (equal to ($900,000,000 - $750,000,000)/$750,000,000)).</w:t>
      </w:r>
    </w:p>
    <w:p>
      <w:pPr>
        <w:spacing w:after="0" w:line="1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means the total revenue recognized in the Company’s consolidated financial statements in accordance with United States generally accepted accounting principles (“GAAP”) for the applicable period; provided, however, that the Committee may, in its discretion, make such adjustments (whether positive or negative) to Revenue as determined for purposes of this Award Agreement as it determines appropriate, including, without limitation, (i) to exclude the effects of restructuring and/or other nonrecurring events; (ii) to exclude exchange rate effects, as applicable, for non-U.S. dollar denominated revenue; (iii) to exclude the effects of changes to generally accepted accounting principles;</w:t>
      </w:r>
    </w:p>
    <w:p>
      <w:pPr>
        <w:spacing w:after="0" w:line="2" w:lineRule="exact"/>
        <w:rPr>
          <w:sz w:val="20"/>
          <w:szCs w:val="20"/>
          <w:color w:val="auto"/>
        </w:rPr>
      </w:pPr>
    </w:p>
    <w:p>
      <w:pPr>
        <w:jc w:val="both"/>
        <w:ind w:firstLine="7"/>
        <w:spacing w:after="0" w:line="275" w:lineRule="auto"/>
        <w:tabs>
          <w:tab w:leader="none" w:pos="3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any statutory adjustments; (v) to exclude the effects of items that are “unusual” in nature or occur “infrequently” as determined under generally accepted accounting principles; (vi) to exclude the effects of acquisitions or joint ventures or divestitures; and</w:t>
      </w:r>
    </w:p>
    <w:p>
      <w:pPr>
        <w:ind w:left="400" w:hanging="393"/>
        <w:spacing w:after="0"/>
        <w:tabs>
          <w:tab w:leader="none" w:pos="4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other appropriate adjustments selected by the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1</w:t>
      </w:r>
      <w:r>
        <w:rPr>
          <w:rFonts w:ascii="Times New Roman" w:cs="Times New Roman" w:eastAsia="Times New Roman" w:hAnsi="Times New Roman"/>
          <w:sz w:val="20"/>
          <w:szCs w:val="20"/>
          <w:color w:val="auto"/>
        </w:rPr>
        <w:t>” means the first fiscal year of the Company contained in the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2</w:t>
      </w:r>
      <w:r>
        <w:rPr>
          <w:rFonts w:ascii="Times New Roman" w:cs="Times New Roman" w:eastAsia="Times New Roman" w:hAnsi="Times New Roman"/>
          <w:sz w:val="20"/>
          <w:szCs w:val="20"/>
          <w:color w:val="auto"/>
        </w:rPr>
        <w:t>” means the second fiscal year of the Company contained in the Performance Period.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 3</w:t>
      </w:r>
      <w:r>
        <w:rPr>
          <w:rFonts w:ascii="Times New Roman" w:cs="Times New Roman" w:eastAsia="Times New Roman" w:hAnsi="Times New Roman"/>
          <w:sz w:val="20"/>
          <w:szCs w:val="20"/>
          <w:color w:val="auto"/>
        </w:rPr>
        <w:t>” means the third fiscal year of the Company contained in the Performance Period.</w:t>
      </w:r>
    </w:p>
    <w:p>
      <w:pPr>
        <w:sectPr>
          <w:pgSz w:w="11900" w:h="16838" w:orient="portrait"/>
          <w:cols w:equalWidth="0" w:num="1">
            <w:col w:w="11240"/>
          </w:cols>
          <w:pgMar w:left="320" w:top="887" w:right="339" w:bottom="1440" w:gutter="0" w:footer="0" w:header="0"/>
        </w:sectPr>
      </w:pPr>
    </w:p>
    <w:bookmarkStart w:id="85" w:name="page86"/>
    <w:bookmarkEnd w:id="85"/>
    <w:p>
      <w:pPr>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Growth Rate Payout Percent</w:t>
      </w:r>
      <w:r>
        <w:rPr>
          <w:rFonts w:ascii="Times New Roman" w:cs="Times New Roman" w:eastAsia="Times New Roman" w:hAnsi="Times New Roman"/>
          <w:sz w:val="20"/>
          <w:szCs w:val="20"/>
          <w:color w:val="auto"/>
        </w:rPr>
        <w:t>” means the Payout Percent determined based on the Revenue Growth Rate for the applicable fiscal year as follows: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Achievement Levels</w:t>
            </w:r>
          </w:p>
        </w:tc>
        <w:tc>
          <w:tcPr>
            <w:tcW w:w="1460" w:type="dxa"/>
            <w:vAlign w:val="bottom"/>
          </w:tcPr>
          <w:p>
            <w:pPr>
              <w:spacing w:after="0"/>
              <w:rPr>
                <w:sz w:val="22"/>
                <w:szCs w:val="22"/>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Revenue Growth Rate</w:t>
            </w:r>
          </w:p>
        </w:tc>
        <w:tc>
          <w:tcPr>
            <w:tcW w:w="1460" w:type="dxa"/>
            <w:vAlign w:val="bottom"/>
          </w:tcPr>
          <w:p>
            <w:pPr>
              <w:spacing w:after="0"/>
              <w:rPr>
                <w:sz w:val="22"/>
                <w:szCs w:val="22"/>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Payout Percentage (% of</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Scaling (C)</w:t>
            </w: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vMerge w:val="restart"/>
          </w:tcPr>
          <w:p>
            <w:pPr>
              <w:spacing w:after="0" w:line="213" w:lineRule="exact"/>
              <w:rPr>
                <w:sz w:val="20"/>
                <w:szCs w:val="20"/>
                <w:color w:val="auto"/>
              </w:rPr>
            </w:pPr>
            <w:r>
              <w:rPr>
                <w:rFonts w:ascii="Times New Roman" w:cs="Times New Roman" w:eastAsia="Times New Roman" w:hAnsi="Times New Roman"/>
                <w:sz w:val="20"/>
                <w:szCs w:val="20"/>
                <w:b w:val="1"/>
                <w:bCs w:val="1"/>
                <w:color w:val="auto"/>
                <w:w w:val="93"/>
              </w:rPr>
              <w:t>Target)</w:t>
            </w:r>
          </w:p>
        </w:tc>
        <w:tc>
          <w:tcPr>
            <w:tcW w:w="1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60" w:type="dxa"/>
            <w:vAlign w:val="bottom"/>
            <w:tcBorders>
              <w:top w:val="single" w:sz="8" w:color="auto"/>
              <w:bottom w:val="single" w:sz="8" w:color="auto"/>
            </w:tcBorders>
            <w:vMerge w:val="restart"/>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1460" w:type="dxa"/>
            <w:vAlign w:val="bottom"/>
            <w:vMerge w:val="restart"/>
          </w:tcPr>
          <w:p>
            <w:pPr>
              <w:jc w:val="center"/>
              <w:ind w:left="462"/>
              <w:spacing w:after="0"/>
              <w:rPr>
                <w:sz w:val="20"/>
                <w:szCs w:val="20"/>
                <w:color w:val="auto"/>
              </w:rPr>
            </w:pPr>
            <w:r>
              <w:rPr>
                <w:rFonts w:ascii="Times New Roman" w:cs="Times New Roman" w:eastAsia="Times New Roman" w:hAnsi="Times New Roman"/>
                <w:sz w:val="20"/>
                <w:szCs w:val="20"/>
                <w:b w:val="1"/>
                <w:bCs w:val="1"/>
                <w:color w:val="auto"/>
                <w:w w:val="94"/>
              </w:rPr>
              <w:t>Year 1</w:t>
            </w:r>
          </w:p>
        </w:tc>
        <w:tc>
          <w:tcPr>
            <w:tcW w:w="180" w:type="dxa"/>
            <w:vAlign w:val="bottom"/>
          </w:tcPr>
          <w:p>
            <w:pPr>
              <w:spacing w:after="0"/>
              <w:rPr>
                <w:sz w:val="4"/>
                <w:szCs w:val="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Year 2</w:t>
            </w:r>
          </w:p>
        </w:tc>
        <w:tc>
          <w:tcPr>
            <w:tcW w:w="146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4"/>
              </w:rPr>
              <w:t>Year 3</w:t>
            </w:r>
          </w:p>
        </w:tc>
        <w:tc>
          <w:tcPr>
            <w:tcW w:w="660" w:type="dxa"/>
            <w:vAlign w:val="bottom"/>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4"/>
        </w:trPr>
        <w:tc>
          <w:tcPr>
            <w:tcW w:w="24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460" w:type="dxa"/>
            <w:vAlign w:val="bottom"/>
          </w:tcPr>
          <w:p>
            <w:pPr>
              <w:jc w:val="center"/>
              <w:ind w:left="4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46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280" w:type="dxa"/>
            <w:vAlign w:val="bottom"/>
            <w:gridSpan w:val="2"/>
          </w:tcPr>
          <w:p>
            <w:pPr>
              <w:jc w:val="center"/>
              <w:ind w:left="722"/>
              <w:spacing w:after="0"/>
              <w:rPr>
                <w:sz w:val="20"/>
                <w:szCs w:val="20"/>
                <w:color w:val="auto"/>
              </w:rPr>
            </w:pPr>
            <w:r>
              <w:rPr>
                <w:rFonts w:ascii="Times New Roman" w:cs="Times New Roman" w:eastAsia="Times New Roman" w:hAnsi="Times New Roman"/>
                <w:sz w:val="20"/>
                <w:szCs w:val="20"/>
                <w:b w:val="1"/>
                <w:bCs w:val="1"/>
                <w:color w:val="auto"/>
                <w:w w:val="99"/>
              </w:rPr>
              <w:t>0%</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15</w:t>
            </w:r>
          </w:p>
        </w:tc>
        <w:tc>
          <w:tcPr>
            <w:tcW w:w="0" w:type="dxa"/>
            <w:vAlign w:val="bottom"/>
          </w:tcPr>
          <w:p>
            <w:pPr>
              <w:spacing w:after="0"/>
              <w:rPr>
                <w:sz w:val="1"/>
                <w:szCs w:val="1"/>
                <w:color w:val="auto"/>
              </w:rPr>
            </w:pPr>
          </w:p>
        </w:tc>
      </w:tr>
      <w:tr>
        <w:trPr>
          <w:trHeight w:val="254"/>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1460" w:type="dxa"/>
            <w:vAlign w:val="bottom"/>
          </w:tcPr>
          <w:p>
            <w:pPr>
              <w:jc w:val="center"/>
              <w:ind w:left="4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46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420" w:type="dxa"/>
            <w:vAlign w:val="bottom"/>
            <w:gridSpan w:val="3"/>
          </w:tcPr>
          <w:p>
            <w:pPr>
              <w:jc w:val="center"/>
              <w:ind w:left="582"/>
              <w:spacing w:after="0"/>
              <w:rPr>
                <w:sz w:val="20"/>
                <w:szCs w:val="20"/>
                <w:color w:val="auto"/>
              </w:rPr>
            </w:pPr>
            <w:r>
              <w:rPr>
                <w:rFonts w:ascii="Times New Roman" w:cs="Times New Roman" w:eastAsia="Times New Roman" w:hAnsi="Times New Roman"/>
                <w:sz w:val="20"/>
                <w:szCs w:val="20"/>
                <w:b w:val="1"/>
                <w:bCs w:val="1"/>
                <w:color w:val="auto"/>
                <w:w w:val="99"/>
              </w:rPr>
              <w:t>100%</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460" w:type="dxa"/>
            <w:vAlign w:val="bottom"/>
          </w:tcPr>
          <w:p>
            <w:pPr>
              <w:jc w:val="center"/>
              <w:ind w:left="4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46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420" w:type="dxa"/>
            <w:vAlign w:val="bottom"/>
            <w:gridSpan w:val="3"/>
          </w:tcPr>
          <w:p>
            <w:pPr>
              <w:jc w:val="center"/>
              <w:ind w:left="582"/>
              <w:spacing w:after="0"/>
              <w:rPr>
                <w:sz w:val="20"/>
                <w:szCs w:val="20"/>
                <w:color w:val="auto"/>
              </w:rPr>
            </w:pPr>
            <w:r>
              <w:rPr>
                <w:rFonts w:ascii="Times New Roman" w:cs="Times New Roman" w:eastAsia="Times New Roman" w:hAnsi="Times New Roman"/>
                <w:sz w:val="20"/>
                <w:szCs w:val="20"/>
                <w:b w:val="1"/>
                <w:bCs w:val="1"/>
                <w:color w:val="auto"/>
                <w:w w:val="99"/>
              </w:rPr>
              <w:t>200%</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40" w:hanging="313"/>
        <w:spacing w:after="0" w:line="231" w:lineRule="auto"/>
        <w:tabs>
          <w:tab w:leader="none" w:pos="628"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b w:val="1"/>
          <w:bCs w:val="1"/>
          <w:color w:val="auto"/>
        </w:rPr>
        <w:t xml:space="preserve">Interpolation. </w:t>
      </w:r>
      <w:r>
        <w:rPr>
          <w:rFonts w:ascii="Times New Roman" w:cs="Times New Roman" w:eastAsia="Times New Roman" w:hAnsi="Times New Roman"/>
          <w:sz w:val="20"/>
          <w:szCs w:val="20"/>
          <w:color w:val="auto"/>
        </w:rPr>
        <w:t>Payments between Achievement Levels are calculated according to the following, with Payout Percent and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Growth Rate rounded to the nearest one-hundredth of one percent (0.01%):</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Revenue Growth Rate Payout Percent = (1+[B/C])*100 where:</w:t>
      </w:r>
    </w:p>
    <w:p>
      <w:pPr>
        <w:spacing w:after="0" w:line="237" w:lineRule="exact"/>
        <w:rPr>
          <w:sz w:val="20"/>
          <w:szCs w:val="20"/>
          <w:color w:val="auto"/>
        </w:rPr>
      </w:pPr>
    </w:p>
    <w:p>
      <w:pPr>
        <w:jc w:val="both"/>
        <w:ind w:left="1280"/>
        <w:spacing w:after="0" w:line="298" w:lineRule="auto"/>
        <w:rPr>
          <w:sz w:val="20"/>
          <w:szCs w:val="20"/>
          <w:color w:val="auto"/>
        </w:rPr>
      </w:pPr>
      <w:r>
        <w:rPr>
          <w:rFonts w:ascii="Times New Roman" w:cs="Times New Roman" w:eastAsia="Times New Roman" w:hAnsi="Times New Roman"/>
          <w:sz w:val="18"/>
          <w:szCs w:val="18"/>
          <w:color w:val="auto"/>
        </w:rPr>
        <w:t>A = Revenue Growth Rate achieved for the applicable year. If the Revenue Growth Rate achieved is less than the Threshold Revenue Growth Rate for the applicable year, then the Threshold Revenue Growth Rate. If the Revenue Growth Rate achieved is greater than the Maximum Revenue Growth Rate for the applicable year, then the Maximum Revenue Growth Rate.</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B = A less the Target Revenue Growth Rate of the measurement year.</w:t>
      </w:r>
    </w:p>
    <w:p>
      <w:pPr>
        <w:spacing w:after="0" w:line="2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C = the Scaling for the nearest Achievement Level actually met or surpassed by A.</w:t>
      </w:r>
    </w:p>
    <w:p>
      <w:pPr>
        <w:spacing w:after="0" w:line="237" w:lineRule="exact"/>
        <w:rPr>
          <w:sz w:val="20"/>
          <w:szCs w:val="20"/>
          <w:color w:val="auto"/>
        </w:rPr>
      </w:pPr>
    </w:p>
    <w:p>
      <w:pPr>
        <w:jc w:val="both"/>
        <w:ind w:left="1280"/>
        <w:spacing w:after="0" w:line="275" w:lineRule="auto"/>
        <w:rPr>
          <w:sz w:val="20"/>
          <w:szCs w:val="20"/>
          <w:color w:val="auto"/>
        </w:rPr>
      </w:pPr>
      <w:r>
        <w:rPr>
          <w:rFonts w:ascii="Times New Roman" w:cs="Times New Roman" w:eastAsia="Times New Roman" w:hAnsi="Times New Roman"/>
          <w:sz w:val="20"/>
          <w:szCs w:val="20"/>
          <w:color w:val="auto"/>
        </w:rPr>
        <w:t>For illustration: if the Revenue Growth Rate achieved in Year 1 is [ ]% (A), then B is equal to -1.00% (equal to [ ]% minus [ ]%), C is 15 and the Revenue Growth Rate Payout Percent for Year 1 would be 93.33% (equal to {[1+(-1.00/15)]*100}).</w:t>
      </w:r>
    </w:p>
    <w:p>
      <w:pPr>
        <w:spacing w:after="0" w:line="3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Non-GAAP Operating Income Margin</w:t>
      </w:r>
      <w:r>
        <w:rPr>
          <w:rFonts w:ascii="Times New Roman" w:cs="Times New Roman" w:eastAsia="Times New Roman" w:hAnsi="Times New Roman"/>
          <w:sz w:val="20"/>
          <w:szCs w:val="20"/>
          <w:color w:val="auto"/>
        </w:rPr>
        <w:t>” means for each fiscal year of the Performance Period, a percentage determined by the ratio of Non-GAAP Operating Income for such fiscal year to Revenue for such fiscal year.</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Non-GAAP Operating Income</w:t>
      </w:r>
      <w:r>
        <w:rPr>
          <w:rFonts w:ascii="Times New Roman" w:cs="Times New Roman" w:eastAsia="Times New Roman" w:hAnsi="Times New Roman"/>
          <w:sz w:val="20"/>
          <w:szCs w:val="20"/>
          <w:color w:val="auto"/>
        </w:rPr>
        <w:t>” means non-GAAP operating income as publicly-announced by the Company for the applicable Performance Period; provided, however, that the Committee may, in its discretion, make such adjustments (whether positive or negative) to operating income as determined for purposes of this Award Agreement as it determines appropriate, including, without limitation, (i) to exclude the effects of restructuring and/or other nonrecurring events; (ii) to exclude exchange rate effects, as applicable, for non-U.S. dollar denominated revenue; (iii) to exclude the effects of changes to generally accepted accounting principles; (iv) to exclude the effects of any statutory adjustments; (v) to exclude the effects of items that are “unusual” in nature or occur “infrequently” as determined under generally accepted accounting principles; (vi) to exclude the effects of acquisitions or joint ventures or divestitures; and (vii) to make other appropriate adjustments selected by the Committee.</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Non-GAAP Operating Income Margin Payout Percent</w:t>
      </w:r>
      <w:r>
        <w:rPr>
          <w:rFonts w:ascii="Times New Roman" w:cs="Times New Roman" w:eastAsia="Times New Roman" w:hAnsi="Times New Roman"/>
          <w:sz w:val="20"/>
          <w:szCs w:val="20"/>
          <w:color w:val="auto"/>
        </w:rPr>
        <w:t>” means the Payout Percent determined based on the Non-GAAP Operating Income Margin for the applicable fiscal year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7"/>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Achievement Levels</w:t>
            </w:r>
          </w:p>
        </w:tc>
        <w:tc>
          <w:tcPr>
            <w:tcW w:w="4920" w:type="dxa"/>
            <w:vAlign w:val="bottom"/>
            <w:gridSpan w:val="5"/>
          </w:tcPr>
          <w:p>
            <w:pPr>
              <w:ind w:left="1080"/>
              <w:spacing w:after="0"/>
              <w:rPr>
                <w:sz w:val="20"/>
                <w:szCs w:val="20"/>
                <w:color w:val="auto"/>
              </w:rPr>
            </w:pPr>
            <w:r>
              <w:rPr>
                <w:rFonts w:ascii="Times New Roman" w:cs="Times New Roman" w:eastAsia="Times New Roman" w:hAnsi="Times New Roman"/>
                <w:sz w:val="20"/>
                <w:szCs w:val="20"/>
                <w:b w:val="1"/>
                <w:bCs w:val="1"/>
                <w:color w:val="auto"/>
              </w:rPr>
              <w:t>Non-GAAP Operating Income Margin</w:t>
            </w: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20"/>
                <w:szCs w:val="20"/>
                <w:b w:val="1"/>
                <w:bCs w:val="1"/>
                <w:color w:val="auto"/>
              </w:rPr>
              <w:t>Payout Percentage (% of</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Scaling (C)</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bottom w:val="single" w:sz="8" w:color="auto"/>
            </w:tcBorders>
            <w:gridSpan w:val="2"/>
            <w:vMerge w:val="restart"/>
          </w:tcPr>
          <w:p>
            <w:pPr>
              <w:ind w:left="660"/>
              <w:spacing w:after="0" w:line="213" w:lineRule="exact"/>
              <w:rPr>
                <w:sz w:val="20"/>
                <w:szCs w:val="20"/>
                <w:color w:val="auto"/>
              </w:rPr>
            </w:pPr>
            <w:r>
              <w:rPr>
                <w:rFonts w:ascii="Times New Roman" w:cs="Times New Roman" w:eastAsia="Times New Roman" w:hAnsi="Times New Roman"/>
                <w:sz w:val="20"/>
                <w:szCs w:val="20"/>
                <w:b w:val="1"/>
                <w:bCs w:val="1"/>
                <w:color w:val="auto"/>
                <w:w w:val="89"/>
              </w:rPr>
              <w:t>Target)</w:t>
            </w:r>
          </w:p>
        </w:tc>
        <w:tc>
          <w:tcPr>
            <w:tcW w:w="1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w w:val="92"/>
              </w:rPr>
              <w:t>(1)</w:t>
            </w:r>
          </w:p>
        </w:tc>
        <w:tc>
          <w:tcPr>
            <w:tcW w:w="660" w:type="dxa"/>
            <w:vAlign w:val="bottom"/>
            <w:tcBorders>
              <w:top w:val="single" w:sz="8" w:color="auto"/>
              <w:bottom w:val="single" w:sz="8" w:color="auto"/>
            </w:tcBorders>
            <w:vMerge w:val="restart"/>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190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4"/>
              </w:rPr>
              <w:t>Year 1</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Year 2</w:t>
            </w:r>
          </w:p>
        </w:tc>
        <w:tc>
          <w:tcPr>
            <w:tcW w:w="138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4"/>
              </w:rPr>
              <w:t>Year 3</w:t>
            </w:r>
          </w:p>
        </w:tc>
        <w:tc>
          <w:tcPr>
            <w:tcW w:w="3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4"/>
        </w:trPr>
        <w:tc>
          <w:tcPr>
            <w:tcW w:w="24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90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38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580" w:type="dxa"/>
            <w:vAlign w:val="bottom"/>
            <w:gridSpan w:val="3"/>
          </w:tcPr>
          <w:p>
            <w:pPr>
              <w:jc w:val="center"/>
              <w:ind w:left="1022"/>
              <w:spacing w:after="0"/>
              <w:rPr>
                <w:sz w:val="20"/>
                <w:szCs w:val="20"/>
                <w:color w:val="auto"/>
              </w:rPr>
            </w:pPr>
            <w:r>
              <w:rPr>
                <w:rFonts w:ascii="Times New Roman" w:cs="Times New Roman" w:eastAsia="Times New Roman" w:hAnsi="Times New Roman"/>
                <w:sz w:val="20"/>
                <w:szCs w:val="20"/>
                <w:b w:val="1"/>
                <w:bCs w:val="1"/>
                <w:color w:val="auto"/>
                <w:w w:val="99"/>
              </w:rPr>
              <w:t>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15</w:t>
            </w: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190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38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740" w:type="dxa"/>
            <w:vAlign w:val="bottom"/>
            <w:gridSpan w:val="4"/>
          </w:tcPr>
          <w:p>
            <w:pPr>
              <w:jc w:val="center"/>
              <w:ind w:left="862"/>
              <w:spacing w:after="0"/>
              <w:rPr>
                <w:sz w:val="20"/>
                <w:szCs w:val="20"/>
                <w:color w:val="auto"/>
              </w:rPr>
            </w:pPr>
            <w:r>
              <w:rPr>
                <w:rFonts w:ascii="Times New Roman" w:cs="Times New Roman" w:eastAsia="Times New Roman" w:hAnsi="Times New Roman"/>
                <w:sz w:val="20"/>
                <w:szCs w:val="20"/>
                <w:b w:val="1"/>
                <w:bCs w:val="1"/>
                <w:color w:val="auto"/>
                <w:w w:val="99"/>
              </w:rPr>
              <w:t>100%</w:t>
            </w: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90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38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740" w:type="dxa"/>
            <w:vAlign w:val="bottom"/>
            <w:gridSpan w:val="4"/>
          </w:tcPr>
          <w:p>
            <w:pPr>
              <w:jc w:val="center"/>
              <w:ind w:left="862"/>
              <w:spacing w:after="0"/>
              <w:rPr>
                <w:sz w:val="20"/>
                <w:szCs w:val="20"/>
                <w:color w:val="auto"/>
              </w:rPr>
            </w:pPr>
            <w:r>
              <w:rPr>
                <w:rFonts w:ascii="Times New Roman" w:cs="Times New Roman" w:eastAsia="Times New Roman" w:hAnsi="Times New Roman"/>
                <w:sz w:val="20"/>
                <w:szCs w:val="20"/>
                <w:b w:val="1"/>
                <w:bCs w:val="1"/>
                <w:color w:val="auto"/>
                <w:w w:val="99"/>
              </w:rPr>
              <w:t>200%</w:t>
            </w: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20" w:hanging="313"/>
        <w:spacing w:after="0" w:line="231" w:lineRule="auto"/>
        <w:tabs>
          <w:tab w:leader="none" w:pos="608"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b w:val="1"/>
          <w:bCs w:val="1"/>
          <w:color w:val="auto"/>
        </w:rPr>
        <w:t xml:space="preserve">Interpolation. </w:t>
      </w:r>
      <w:r>
        <w:rPr>
          <w:rFonts w:ascii="Times New Roman" w:cs="Times New Roman" w:eastAsia="Times New Roman" w:hAnsi="Times New Roman"/>
          <w:sz w:val="20"/>
          <w:szCs w:val="20"/>
          <w:color w:val="auto"/>
        </w:rPr>
        <w:t>Payments between Achievement Levels are calculated according to the following, with Payout Percent and Non-GAAP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Income Margin rounded to the nearest one-hundredth of one percent (0.01%):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Non-GAAP Operating Income Margin Payout Percent = (1+[B/C])*100 where:</w:t>
      </w:r>
    </w:p>
    <w:p>
      <w:pPr>
        <w:spacing w:after="0" w:line="250" w:lineRule="exact"/>
        <w:rPr>
          <w:sz w:val="20"/>
          <w:szCs w:val="20"/>
          <w:color w:val="auto"/>
        </w:rPr>
      </w:pPr>
    </w:p>
    <w:p>
      <w:pPr>
        <w:jc w:val="both"/>
        <w:ind w:left="1260"/>
        <w:spacing w:after="0" w:line="254" w:lineRule="auto"/>
        <w:rPr>
          <w:sz w:val="20"/>
          <w:szCs w:val="20"/>
          <w:color w:val="auto"/>
        </w:rPr>
      </w:pPr>
      <w:r>
        <w:rPr>
          <w:rFonts w:ascii="Times New Roman" w:cs="Times New Roman" w:eastAsia="Times New Roman" w:hAnsi="Times New Roman"/>
          <w:sz w:val="20"/>
          <w:szCs w:val="20"/>
          <w:color w:val="auto"/>
        </w:rPr>
        <w:t>A = Non-GAAP Operating Income Margin achieved for the applicable year. If the Non-GAAP Operating Income Margin achieved is less than the Threshold Non-GAAP Operating Income Margin for the applicable year, then the Threshold Non-GAAP Operating Income Margin. If the Non-GAAP Operating Income Margin achieved is greater than the Maximum Non-GAAP Operating Income Margin for the applicable year, then the Maximum Non-GAAP Operating Income Margin.</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B = A less the Target Non-GAAP Operating Income Margin of the measurement year</w:t>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C = the Scaling for the nearest Achievement Level actually met or surpassed by A</w:t>
      </w:r>
    </w:p>
    <w:p>
      <w:pPr>
        <w:spacing w:after="0" w:line="250" w:lineRule="exact"/>
        <w:rPr>
          <w:sz w:val="20"/>
          <w:szCs w:val="20"/>
          <w:color w:val="auto"/>
        </w:rPr>
      </w:pPr>
    </w:p>
    <w:p>
      <w:pPr>
        <w:jc w:val="both"/>
        <w:ind w:left="1260"/>
        <w:spacing w:after="0" w:line="256" w:lineRule="auto"/>
        <w:rPr>
          <w:sz w:val="20"/>
          <w:szCs w:val="20"/>
          <w:color w:val="auto"/>
        </w:rPr>
      </w:pPr>
      <w:r>
        <w:rPr>
          <w:rFonts w:ascii="Times New Roman" w:cs="Times New Roman" w:eastAsia="Times New Roman" w:hAnsi="Times New Roman"/>
          <w:sz w:val="20"/>
          <w:szCs w:val="20"/>
          <w:color w:val="auto"/>
        </w:rPr>
        <w:t>For illustration: if the Non-GAAP Operating Income Margin achieved in Year 1 is [ ]% (A), then B is equal to -1.00% (equal to [ ]% minus [ ]%), C is 15 and the Non-GAAP Operating Income Margin Payout Percent for Year 1 would be 93.33% (equal to {[1+(-1.00/15)]*100}).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890" w:right="339" w:bottom="1440" w:gutter="0" w:footer="0" w:header="0"/>
        </w:sectPr>
      </w:pPr>
    </w:p>
    <w:bookmarkStart w:id="87" w:name="page88"/>
    <w:bookmarkEnd w:id="87"/>
    <w:p>
      <w:pPr>
        <w:ind w:left="4180"/>
        <w:spacing w:after="0"/>
        <w:rPr>
          <w:sz w:val="20"/>
          <w:szCs w:val="20"/>
          <w:color w:val="auto"/>
        </w:rPr>
      </w:pPr>
      <w:r>
        <w:rPr>
          <w:rFonts w:ascii="Times New Roman" w:cs="Times New Roman" w:eastAsia="Times New Roman" w:hAnsi="Times New Roman"/>
          <w:sz w:val="20"/>
          <w:szCs w:val="20"/>
          <w:b w:val="1"/>
          <w:bCs w:val="1"/>
          <w:color w:val="auto"/>
        </w:rPr>
        <w:t>SILICON LABORATORIES INC.</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2009 STOCK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PSU AWARD AGREEMENT</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Silicon Laboratories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granted to the Participant named in the Performance Stock Units Grant Notice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to which this Global PSU Award Agreement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is attached an Award consisting of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subject to the terms and conditions set forth in the Grant Notice and this Award Agreement, including any country-specific terms and conditions set forth in an addendum to such agreement (the “</w:t>
      </w:r>
      <w:r>
        <w:rPr>
          <w:rFonts w:ascii="Times New Roman" w:cs="Times New Roman" w:eastAsia="Times New Roman" w:hAnsi="Times New Roman"/>
          <w:sz w:val="20"/>
          <w:szCs w:val="20"/>
          <w:b w:val="1"/>
          <w:bCs w:val="1"/>
          <w:i w:val="1"/>
          <w:iCs w:val="1"/>
          <w:color w:val="auto"/>
        </w:rPr>
        <w:t>Addendum</w:t>
      </w:r>
      <w:r>
        <w:rPr>
          <w:rFonts w:ascii="Times New Roman" w:cs="Times New Roman" w:eastAsia="Times New Roman" w:hAnsi="Times New Roman"/>
          <w:sz w:val="20"/>
          <w:szCs w:val="20"/>
          <w:color w:val="auto"/>
        </w:rPr>
        <w:t xml:space="preserve">”). The Award has been granted pursuant to the Silicon Laboratories Inc. 2009 Stock Incentive Plan, as amended and restated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under the Plan.</w:t>
      </w:r>
    </w:p>
    <w:p>
      <w:pPr>
        <w:spacing w:after="0" w:line="206" w:lineRule="exact"/>
        <w:rPr>
          <w:sz w:val="20"/>
          <w:szCs w:val="20"/>
          <w:color w:val="auto"/>
        </w:rPr>
      </w:pPr>
    </w:p>
    <w:p>
      <w:pPr>
        <w:ind w:left="1280" w:hanging="633"/>
        <w:spacing w:after="0"/>
        <w:tabs>
          <w:tab w:leader="none" w:pos="128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201" w:lineRule="exact"/>
        <w:rPr>
          <w:sz w:val="20"/>
          <w:szCs w:val="20"/>
          <w:color w:val="auto"/>
        </w:rPr>
      </w:pPr>
    </w:p>
    <w:p>
      <w:pPr>
        <w:jc w:val="both"/>
        <w:ind w:firstLine="1281"/>
        <w:spacing w:after="0" w:line="247" w:lineRule="auto"/>
        <w:rPr>
          <w:sz w:val="20"/>
          <w:szCs w:val="20"/>
          <w:color w:val="auto"/>
        </w:rPr>
      </w:pPr>
      <w:r>
        <w:rPr>
          <w:rFonts w:ascii="Times New Roman" w:cs="Times New Roman" w:eastAsia="Times New Roman" w:hAnsi="Times New Roman"/>
          <w:sz w:val="20"/>
          <w:szCs w:val="20"/>
          <w:color w:val="auto"/>
        </w:rPr>
        <w:t>1.1 The Company hereby awards to the Participant the Target Number of Units set forth in the Grant Notice, which, depending on the extent to which the Performance Goals (as described by Plan) are attained during the Performance Period, may result in the Participant having the opportunity to earn as little as zero (0) Units or as many as the Maximum Number of Units. Subject to the terms of this Award Agreement and the Plan, each Unit, to the extent it becomes a Vested Unit, represents a right to receive one (1) share of Common Stock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on the Settlement Date. Unless and until a Unit has been determined to be an Earned Unit and has vested and become a Vested Unit as set forth in the Grant Notice, the Participant will have no right to settlement of such Units. Prior to settlement of any Units, such Units will represent an unfunded and unsecured obligation of the Company.</w:t>
      </w:r>
    </w:p>
    <w:p>
      <w:pPr>
        <w:spacing w:after="0" w:line="180" w:lineRule="exact"/>
        <w:rPr>
          <w:sz w:val="20"/>
          <w:szCs w:val="20"/>
          <w:color w:val="auto"/>
        </w:rPr>
      </w:pPr>
    </w:p>
    <w:p>
      <w:pPr>
        <w:ind w:left="1280" w:hanging="633"/>
        <w:spacing w:after="0"/>
        <w:tabs>
          <w:tab w:leader="none" w:pos="128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Measurement of Performance Goals</w:t>
      </w:r>
      <w:r>
        <w:rPr>
          <w:rFonts w:ascii="Times New Roman" w:cs="Times New Roman" w:eastAsia="Times New Roman" w:hAnsi="Times New Roman"/>
          <w:sz w:val="20"/>
          <w:szCs w:val="20"/>
          <w:b w:val="1"/>
          <w:bCs w:val="1"/>
          <w:color w:val="auto"/>
        </w:rPr>
        <w:t>.</w:t>
      </w:r>
    </w:p>
    <w:p>
      <w:pPr>
        <w:spacing w:after="0" w:line="188" w:lineRule="exact"/>
        <w:rPr>
          <w:sz w:val="20"/>
          <w:szCs w:val="20"/>
          <w:color w:val="auto"/>
        </w:rPr>
      </w:pPr>
    </w:p>
    <w:p>
      <w:pPr>
        <w:ind w:firstLine="1281"/>
        <w:spacing w:after="0" w:line="275" w:lineRule="auto"/>
        <w:rPr>
          <w:sz w:val="20"/>
          <w:szCs w:val="20"/>
          <w:color w:val="auto"/>
        </w:rPr>
      </w:pPr>
      <w:r>
        <w:rPr>
          <w:rFonts w:ascii="Times New Roman" w:cs="Times New Roman" w:eastAsia="Times New Roman" w:hAnsi="Times New Roman"/>
          <w:sz w:val="20"/>
          <w:szCs w:val="20"/>
          <w:color w:val="auto"/>
        </w:rPr>
        <w:t xml:space="preserve">2.1 Subject to Section 9.1, the Performance Goals shall be determined for Performance Period in accordance with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attached to the Grant Notice.</w:t>
      </w:r>
    </w:p>
    <w:p>
      <w:pPr>
        <w:spacing w:after="0" w:line="149" w:lineRule="exact"/>
        <w:rPr>
          <w:sz w:val="20"/>
          <w:szCs w:val="20"/>
          <w:color w:val="auto"/>
        </w:rPr>
      </w:pPr>
    </w:p>
    <w:p>
      <w:pPr>
        <w:ind w:left="1280" w:hanging="633"/>
        <w:spacing w:after="0"/>
        <w:tabs>
          <w:tab w:leader="none" w:pos="128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Committee Certification of Earned Units</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firstLine="1281"/>
        <w:spacing w:after="0" w:line="222" w:lineRule="auto"/>
        <w:rPr>
          <w:sz w:val="20"/>
          <w:szCs w:val="20"/>
          <w:color w:val="auto"/>
        </w:rPr>
      </w:pPr>
      <w:r>
        <w:rPr>
          <w:rFonts w:ascii="Times New Roman" w:cs="Times New Roman" w:eastAsia="Times New Roman" w:hAnsi="Times New Roman"/>
          <w:sz w:val="20"/>
          <w:szCs w:val="20"/>
          <w:b w:val="1"/>
          <w:bCs w:val="1"/>
          <w:color w:val="auto"/>
        </w:rPr>
        <w:t xml:space="preserve">3.1 Level of Performance Goals Attained. </w:t>
      </w:r>
      <w:r>
        <w:rPr>
          <w:rFonts w:ascii="Times New Roman" w:cs="Times New Roman" w:eastAsia="Times New Roman" w:hAnsi="Times New Roman"/>
          <w:sz w:val="20"/>
          <w:szCs w:val="20"/>
          <w:color w:val="auto"/>
        </w:rPr>
        <w:t>As soon as practicable following completion of the Performance Period but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event no later than the Vesting Date, the Committee shall determine (a) the level of attainment of the Performance Goals during the</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Performance Period, and (b) the number of Units which have become Earned Units for the Performance Period. The Committee may make such adjustments to the Performance Goals as the Committee in its sole discretion deems appropriate.</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Adjustment for Leave of Absence or Part-Time Work. </w:t>
      </w:r>
      <w:r>
        <w:rPr>
          <w:rFonts w:ascii="Times New Roman" w:cs="Times New Roman" w:eastAsia="Times New Roman" w:hAnsi="Times New Roman"/>
          <w:sz w:val="18"/>
          <w:szCs w:val="18"/>
          <w:color w:val="auto"/>
        </w:rPr>
        <w:t>Unless otherwise required by law or Company policy, if the</w:t>
      </w:r>
    </w:p>
    <w:p>
      <w:pPr>
        <w:spacing w:after="0" w:line="201" w:lineRule="auto"/>
        <w:rPr>
          <w:sz w:val="20"/>
          <w:szCs w:val="20"/>
          <w:color w:val="auto"/>
        </w:rPr>
      </w:pPr>
      <w:r>
        <w:rPr>
          <w:rFonts w:ascii="Times New Roman" w:cs="Times New Roman" w:eastAsia="Times New Roman" w:hAnsi="Times New Roman"/>
          <w:sz w:val="20"/>
          <w:szCs w:val="20"/>
          <w:color w:val="auto"/>
        </w:rPr>
        <w:t>Participant takes a leave of absence or commences working on a part-time basis during the Performance Period, the Committee may, in its discretion, reduce on a pro rata basis (reflecting the portion of the Performance Period worked by the Participant on a full-time equivalent</w:t>
      </w:r>
    </w:p>
    <w:p>
      <w:pPr>
        <w:spacing w:after="0" w:line="234" w:lineRule="auto"/>
        <w:rPr>
          <w:sz w:val="20"/>
          <w:szCs w:val="20"/>
          <w:color w:val="auto"/>
        </w:rPr>
      </w:pPr>
      <w:r>
        <w:rPr>
          <w:rFonts w:ascii="Times New Roman" w:cs="Times New Roman" w:eastAsia="Times New Roman" w:hAnsi="Times New Roman"/>
          <w:sz w:val="18"/>
          <w:szCs w:val="18"/>
          <w:color w:val="auto"/>
        </w:rPr>
        <w:t>basis) the number of Units which would otherwise become Earned Units, or provide that the number of Units which would otherwise become</w:t>
      </w:r>
    </w:p>
    <w:p>
      <w:pPr>
        <w:spacing w:after="0" w:line="218" w:lineRule="auto"/>
        <w:rPr>
          <w:sz w:val="20"/>
          <w:szCs w:val="20"/>
          <w:color w:val="auto"/>
        </w:rPr>
      </w:pPr>
      <w:r>
        <w:rPr>
          <w:rFonts w:ascii="Times New Roman" w:cs="Times New Roman" w:eastAsia="Times New Roman" w:hAnsi="Times New Roman"/>
          <w:sz w:val="20"/>
          <w:szCs w:val="20"/>
          <w:color w:val="auto"/>
        </w:rPr>
        <w:t>Earned Units shall be reduced as provided by the terms of an agreement between the Participant and the Company pertaining to the Participant’s leave of absence or part-time schedule.</w:t>
      </w:r>
    </w:p>
    <w:p>
      <w:pPr>
        <w:spacing w:after="0" w:line="157" w:lineRule="exact"/>
        <w:rPr>
          <w:sz w:val="20"/>
          <w:szCs w:val="20"/>
          <w:color w:val="auto"/>
        </w:rPr>
      </w:pPr>
    </w:p>
    <w:p>
      <w:pPr>
        <w:ind w:left="1280" w:hanging="633"/>
        <w:spacing w:after="0"/>
        <w:tabs>
          <w:tab w:leader="none" w:pos="12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of Earned Units</w:t>
      </w: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1394" w:right="339" w:bottom="1440" w:gutter="0" w:footer="0" w:header="0"/>
        </w:sectPr>
      </w:pPr>
    </w:p>
    <w:bookmarkStart w:id="88" w:name="page89"/>
    <w:bookmarkEnd w:id="88"/>
    <w:p>
      <w:pPr>
        <w:ind w:firstLine="1281"/>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4.1 Normal Vesting. </w:t>
      </w:r>
      <w:r>
        <w:rPr>
          <w:rFonts w:ascii="Times New Roman" w:cs="Times New Roman" w:eastAsia="Times New Roman" w:hAnsi="Times New Roman"/>
          <w:sz w:val="20"/>
          <w:szCs w:val="20"/>
          <w:color w:val="auto"/>
        </w:rPr>
        <w:t>Except as otherwise provided by this Award Agreement, Earned Units shall vest and become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Units as provided in the Grant Notice.</w:t>
      </w:r>
    </w:p>
    <w:p>
      <w:pPr>
        <w:spacing w:after="0" w:line="14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Vesting Upon a Change in Control.</w:t>
      </w:r>
    </w:p>
    <w:p>
      <w:pPr>
        <w:spacing w:after="0" w:line="188" w:lineRule="exact"/>
        <w:rPr>
          <w:sz w:val="20"/>
          <w:szCs w:val="20"/>
          <w:color w:val="auto"/>
        </w:rPr>
      </w:pPr>
    </w:p>
    <w:p>
      <w:pPr>
        <w:ind w:firstLine="1928"/>
        <w:spacing w:after="0" w:line="237" w:lineRule="auto"/>
        <w:tabs>
          <w:tab w:leader="none" w:pos="26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before the end of the Performance Period as set forth in the Grant Notice, the vesting of Earned Units shall be determined in accordance with Section 9.1.</w:t>
      </w:r>
    </w:p>
    <w:p>
      <w:pPr>
        <w:spacing w:after="0" w:line="146" w:lineRule="exact"/>
        <w:rPr>
          <w:rFonts w:ascii="Times New Roman" w:cs="Times New Roman" w:eastAsia="Times New Roman" w:hAnsi="Times New Roman"/>
          <w:sz w:val="20"/>
          <w:szCs w:val="20"/>
          <w:color w:val="auto"/>
        </w:rPr>
      </w:pPr>
    </w:p>
    <w:p>
      <w:pPr>
        <w:ind w:firstLine="1928"/>
        <w:spacing w:after="0" w:line="237" w:lineRule="auto"/>
        <w:tabs>
          <w:tab w:leader="none" w:pos="254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after the end of the Performance Period as set forth in the Grant Notice but before the Vesting Date as set forth in the Grant Notice, the vesting of Earned Units shall be determined in accordance with Section 9.2.</w:t>
      </w:r>
    </w:p>
    <w:p>
      <w:pPr>
        <w:spacing w:after="0" w:line="13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Vesting Upon Involuntary Termination Following a Change in Control. </w:t>
      </w:r>
      <w:r>
        <w:rPr>
          <w:rFonts w:ascii="Times New Roman" w:cs="Times New Roman" w:eastAsia="Times New Roman" w:hAnsi="Times New Roman"/>
          <w:sz w:val="18"/>
          <w:szCs w:val="18"/>
          <w:color w:val="auto"/>
        </w:rPr>
        <w:t>In the event that upon or within eighteen</w:t>
      </w:r>
    </w:p>
    <w:p>
      <w:pPr>
        <w:ind w:right="220" w:firstLine="7"/>
        <w:spacing w:after="0" w:line="225" w:lineRule="auto"/>
        <w:tabs>
          <w:tab w:leader="none" w:pos="37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effective date of a Change in Control, the Participant’s Service (as defined in Section 5.1 below) terminates due to Involuntary Termination, the vesting of Earned Units shall be determined in accordance with Section 9.3.</w:t>
      </w:r>
    </w:p>
    <w:p>
      <w:pPr>
        <w:spacing w:after="0" w:line="156"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jc w:val="both"/>
        <w:ind w:firstLine="128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5.1 General Rule. </w:t>
      </w:r>
      <w:r>
        <w:rPr>
          <w:rFonts w:ascii="Times New Roman" w:cs="Times New Roman" w:eastAsia="Times New Roman" w:hAnsi="Times New Roman"/>
          <w:sz w:val="18"/>
          <w:szCs w:val="18"/>
          <w:color w:val="auto"/>
        </w:rPr>
        <w:t>In the event that prior to the Vesting Date the Participant ceases to provide services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Subsidiary or Affiliate) in the capacity of an Employee, Director or Consultant (collectively referred to herein as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for any reason,</w:t>
      </w:r>
    </w:p>
    <w:p>
      <w:pPr>
        <w:ind w:right="20"/>
        <w:spacing w:after="0" w:line="218" w:lineRule="auto"/>
        <w:rPr>
          <w:sz w:val="20"/>
          <w:szCs w:val="20"/>
          <w:color w:val="auto"/>
        </w:rPr>
      </w:pPr>
      <w:r>
        <w:rPr>
          <w:rFonts w:ascii="Times New Roman" w:cs="Times New Roman" w:eastAsia="Times New Roman" w:hAnsi="Times New Roman"/>
          <w:sz w:val="20"/>
          <w:szCs w:val="20"/>
          <w:color w:val="auto"/>
        </w:rPr>
        <w:t>with or without cause, other than by reason of the Participant’s termination of Service described in Section 4.3, the Participant shall forfeit all Units which are not, as of the time of such termination, Vested Units, and the Participant shall not be entitled to any payment therefor.</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20"/>
          <w:szCs w:val="20"/>
          <w:b w:val="1"/>
          <w:bCs w:val="1"/>
          <w:color w:val="auto"/>
        </w:rPr>
        <w:t xml:space="preserve">Determination of Termination Date. </w:t>
      </w:r>
      <w:r>
        <w:rPr>
          <w:rFonts w:ascii="Times New Roman" w:cs="Times New Roman" w:eastAsia="Times New Roman" w:hAnsi="Times New Roman"/>
          <w:sz w:val="20"/>
          <w:szCs w:val="20"/>
          <w:color w:val="auto"/>
        </w:rPr>
        <w:t>For purposes of this Award Agreement, the date of termination of the</w:t>
      </w:r>
    </w:p>
    <w:p>
      <w:pPr>
        <w:spacing w:after="0" w:line="201" w:lineRule="auto"/>
        <w:rPr>
          <w:sz w:val="20"/>
          <w:szCs w:val="20"/>
          <w:color w:val="auto"/>
        </w:rPr>
      </w:pPr>
      <w:r>
        <w:rPr>
          <w:rFonts w:ascii="Times New Roman" w:cs="Times New Roman" w:eastAsia="Times New Roman" w:hAnsi="Times New Roman"/>
          <w:sz w:val="20"/>
          <w:szCs w:val="20"/>
          <w:color w:val="auto"/>
        </w:rPr>
        <w:t>Participant’s Service shall be the date upon which the Participant ceases active performance of services for the Company, a Subsidiary or Affiliate, as determined by the Company following the provision of such notification of termination or resignation from Service and shall be</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determined solely by this Award Agreement and without reference to any other agreement, written or oral, including the Participant’s contract of employment (if any). Thus, in the event of termination of the Participant’s Service (regardless of the reason for such termination and</w:t>
      </w:r>
    </w:p>
    <w:p>
      <w:pPr>
        <w:spacing w:after="0" w:line="232" w:lineRule="auto"/>
        <w:rPr>
          <w:sz w:val="20"/>
          <w:szCs w:val="20"/>
          <w:color w:val="auto"/>
        </w:rPr>
      </w:pPr>
      <w:r>
        <w:rPr>
          <w:rFonts w:ascii="Times New Roman" w:cs="Times New Roman" w:eastAsia="Times New Roman" w:hAnsi="Times New Roman"/>
          <w:sz w:val="18"/>
          <w:szCs w:val="18"/>
          <w:color w:val="auto"/>
        </w:rPr>
        <w:t>whether or not later to be found invalid or in breach of employment laws in the jurisdiction where the Participant is employed or the terms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Participant’s employment contract, if any), and unless otherwise expressly provided in this Agreement or determined by the Company, the Participant’s right to vest in the Units under the Plan, if any, will terminate as of such date and will not be extended by any notice period (e.g.,</w:t>
      </w:r>
    </w:p>
    <w:p>
      <w:pPr>
        <w:spacing w:after="0" w:line="232" w:lineRule="auto"/>
        <w:rPr>
          <w:sz w:val="20"/>
          <w:szCs w:val="20"/>
          <w:color w:val="auto"/>
        </w:rPr>
      </w:pPr>
      <w:r>
        <w:rPr>
          <w:rFonts w:ascii="Times New Roman" w:cs="Times New Roman" w:eastAsia="Times New Roman" w:hAnsi="Times New Roman"/>
          <w:sz w:val="18"/>
          <w:szCs w:val="18"/>
          <w:color w:val="auto"/>
        </w:rPr>
        <w:t>the Participant’s period of Service would not include any contractual notice period or any period of “garden leave” or similar period mandated</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under employment laws in the jurisdiction where the Participant is employed or the terms of the Participant’s employment contract, if any). The Committee shall have the exclusive discretion to determine when the Participant is no longer actively providing services for purposes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Award Agreement (including whether the Participant may still be considered to be providing services while on a leave of absence).</w:t>
      </w:r>
    </w:p>
    <w:p>
      <w:pPr>
        <w:spacing w:after="0" w:line="158" w:lineRule="exact"/>
        <w:rPr>
          <w:sz w:val="20"/>
          <w:szCs w:val="20"/>
          <w:color w:val="auto"/>
        </w:rPr>
      </w:pPr>
    </w:p>
    <w:p>
      <w:pPr>
        <w:ind w:left="1280" w:hanging="633"/>
        <w:spacing w:after="0"/>
        <w:tabs>
          <w:tab w:leader="none" w:pos="128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firstLine="1281"/>
        <w:spacing w:after="0" w:line="247" w:lineRule="auto"/>
        <w:rPr>
          <w:sz w:val="20"/>
          <w:szCs w:val="20"/>
          <w:color w:val="auto"/>
        </w:rPr>
      </w:pPr>
      <w:r>
        <w:rPr>
          <w:rFonts w:ascii="Times New Roman" w:cs="Times New Roman" w:eastAsia="Times New Roman" w:hAnsi="Times New Roman"/>
          <w:sz w:val="18"/>
          <w:szCs w:val="18"/>
          <w:b w:val="1"/>
          <w:bCs w:val="1"/>
          <w:color w:val="auto"/>
        </w:rPr>
        <w:t>6.1 Issuance of Shares of Common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6.3, Section 7 and Section 9.3 below,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issue to the Participant on the Settlement Date with respect to each Vested Unit to be settled on such date one (1) Share. Shares</w:t>
      </w:r>
    </w:p>
    <w:p>
      <w:pPr>
        <w:spacing w:after="0" w:line="218" w:lineRule="auto"/>
        <w:rPr>
          <w:sz w:val="20"/>
          <w:szCs w:val="20"/>
          <w:color w:val="auto"/>
        </w:rPr>
      </w:pPr>
      <w:r>
        <w:rPr>
          <w:rFonts w:ascii="Times New Roman" w:cs="Times New Roman" w:eastAsia="Times New Roman" w:hAnsi="Times New Roman"/>
          <w:sz w:val="20"/>
          <w:szCs w:val="20"/>
          <w:color w:val="auto"/>
        </w:rPr>
        <w:t>issued in settlement of Vested Units shall not be subject to any restriction on transfer other than any such restriction as may be required pursuant to Section 6.3.</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hereby authorizes the Company, in its</w:t>
      </w:r>
    </w:p>
    <w:p>
      <w:pPr>
        <w:spacing w:after="0" w:line="201" w:lineRule="auto"/>
        <w:rPr>
          <w:sz w:val="20"/>
          <w:szCs w:val="20"/>
          <w:color w:val="auto"/>
        </w:rPr>
      </w:pPr>
      <w:r>
        <w:rPr>
          <w:rFonts w:ascii="Times New Roman" w:cs="Times New Roman" w:eastAsia="Times New Roman" w:hAnsi="Times New Roman"/>
          <w:sz w:val="20"/>
          <w:szCs w:val="20"/>
          <w:color w:val="auto"/>
        </w:rPr>
        <w:t>sole discretion, to deposit for the benefit of the Participant with a Company-designated brokerage firm or, at the Company’s discretion, any other broker with which the Participant has an account relationship of which the Company has notice any or all Shares acquired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pursuant to the settlement of the Award. Except as provided by the preceding sentence,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certificate for the Shares as to which the Award is settled shall be registered in the name of the Participant.</w:t>
      </w:r>
    </w:p>
    <w:p>
      <w:pPr>
        <w:spacing w:after="0" w:line="180" w:lineRule="exact"/>
        <w:rPr>
          <w:sz w:val="20"/>
          <w:szCs w:val="20"/>
          <w:color w:val="auto"/>
        </w:rPr>
      </w:pPr>
    </w:p>
    <w:p>
      <w:pPr>
        <w:ind w:firstLine="1281"/>
        <w:spacing w:after="0" w:line="239" w:lineRule="auto"/>
        <w:rPr>
          <w:sz w:val="20"/>
          <w:szCs w:val="20"/>
          <w:color w:val="auto"/>
        </w:rPr>
      </w:pPr>
      <w:r>
        <w:rPr>
          <w:rFonts w:ascii="Times New Roman" w:cs="Times New Roman" w:eastAsia="Times New Roman" w:hAnsi="Times New Roman"/>
          <w:sz w:val="18"/>
          <w:szCs w:val="18"/>
          <w:b w:val="1"/>
          <w:bCs w:val="1"/>
          <w:color w:val="auto"/>
        </w:rPr>
        <w:t>6.3 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Award and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upon settlement of the Award shall be subject to compliance with all applicable requirements of U.S. federal, state or foreign</w:t>
      </w:r>
    </w:p>
    <w:p>
      <w:pPr>
        <w:spacing w:after="0" w:line="209" w:lineRule="auto"/>
        <w:rPr>
          <w:sz w:val="20"/>
          <w:szCs w:val="20"/>
          <w:color w:val="auto"/>
        </w:rPr>
      </w:pPr>
      <w:r>
        <w:rPr>
          <w:rFonts w:ascii="Times New Roman" w:cs="Times New Roman" w:eastAsia="Times New Roman" w:hAnsi="Times New Roman"/>
          <w:sz w:val="20"/>
          <w:szCs w:val="20"/>
          <w:color w:val="auto"/>
        </w:rPr>
        <w:t>law with respect to such securities. No Shares may be issued hereunder if the issuance of such Shares would constitute a violation of any</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applicable U.S. federal, state or foreign securities laws or other laws or regulations or the requirements of any stock exchange or market system upon which the Common Stock may then be listed. The inability of the Company to obtain from any regulatory body having jurisdiction the</w:t>
      </w:r>
    </w:p>
    <w:p>
      <w:pPr>
        <w:spacing w:after="0" w:line="209" w:lineRule="auto"/>
        <w:rPr>
          <w:sz w:val="20"/>
          <w:szCs w:val="20"/>
          <w:color w:val="auto"/>
        </w:rPr>
      </w:pPr>
      <w:r>
        <w:rPr>
          <w:rFonts w:ascii="Times New Roman" w:cs="Times New Roman" w:eastAsia="Times New Roman" w:hAnsi="Times New Roman"/>
          <w:sz w:val="20"/>
          <w:szCs w:val="20"/>
          <w:color w:val="auto"/>
        </w:rPr>
        <w:t>authority, if any, deemed by the Company’s legal counsel to be necessary to the lawful issuance of any Shares subject to the Award shall</w:t>
      </w:r>
    </w:p>
    <w:p>
      <w:pPr>
        <w:spacing w:after="0" w:line="201" w:lineRule="auto"/>
        <w:rPr>
          <w:sz w:val="20"/>
          <w:szCs w:val="20"/>
          <w:color w:val="auto"/>
        </w:rPr>
      </w:pPr>
      <w:r>
        <w:rPr>
          <w:rFonts w:ascii="Times New Roman" w:cs="Times New Roman" w:eastAsia="Times New Roman" w:hAnsi="Times New Roman"/>
          <w:sz w:val="20"/>
          <w:szCs w:val="20"/>
          <w:color w:val="auto"/>
        </w:rPr>
        <w:t>relieve the Company of any liability in respect of the failure to issue such Shares as to which such requisite authority shall not have been obtained. As a condition to the settlement of the Award, the Company may require the Participant to satisfy any qualifications that may be</w:t>
      </w:r>
    </w:p>
    <w:p>
      <w:pPr>
        <w:spacing w:after="0" w:line="210" w:lineRule="auto"/>
        <w:rPr>
          <w:sz w:val="20"/>
          <w:szCs w:val="20"/>
          <w:color w:val="auto"/>
        </w:rPr>
      </w:pPr>
      <w:r>
        <w:rPr>
          <w:rFonts w:ascii="Times New Roman" w:cs="Times New Roman" w:eastAsia="Times New Roman" w:hAnsi="Times New Roman"/>
          <w:sz w:val="20"/>
          <w:szCs w:val="20"/>
          <w:color w:val="auto"/>
        </w:rPr>
        <w:t>necessary or appropriate, to evidence compliance with any applicable law or regulation and to make any representation or warranty with</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w:t>
      </w:r>
    </w:p>
    <w:p>
      <w:pPr>
        <w:spacing w:after="0" w:line="209" w:lineRule="auto"/>
        <w:rPr>
          <w:sz w:val="20"/>
          <w:szCs w:val="20"/>
          <w:color w:val="auto"/>
        </w:rPr>
      </w:pPr>
      <w:r>
        <w:rPr>
          <w:rFonts w:ascii="Times New Roman" w:cs="Times New Roman" w:eastAsia="Times New Roman" w:hAnsi="Times New Roman"/>
          <w:sz w:val="20"/>
          <w:szCs w:val="20"/>
          <w:color w:val="auto"/>
        </w:rPr>
        <w:t>may impose additional restrictions upon the sale, pledge, or other transfer of the Shares (including the placement of appropriate legends on</w:t>
      </w:r>
    </w:p>
    <w:p>
      <w:pPr>
        <w:spacing w:after="0" w:line="224" w:lineRule="auto"/>
        <w:rPr>
          <w:sz w:val="20"/>
          <w:szCs w:val="20"/>
          <w:color w:val="auto"/>
        </w:rPr>
      </w:pPr>
      <w:r>
        <w:rPr>
          <w:rFonts w:ascii="Times New Roman" w:cs="Times New Roman" w:eastAsia="Times New Roman" w:hAnsi="Times New Roman"/>
          <w:sz w:val="18"/>
          <w:szCs w:val="18"/>
          <w:color w:val="auto"/>
        </w:rPr>
        <w:t>stock certificates and the issuance of stop-transfer instructions to the Company’s transfer agent) if, in the judgment of the Company and the Company’s counsel, such restrictions are necessary in order to achieve compliance with the provisions of the Securities Act, the securities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any State, or any other law.</w:t>
      </w:r>
    </w:p>
    <w:p>
      <w:pPr>
        <w:spacing w:after="0" w:line="15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be required to issue fractional Shares upon the settlement of the Award.</w:t>
      </w:r>
    </w:p>
    <w:p>
      <w:pPr>
        <w:spacing w:after="0" w:line="170" w:lineRule="exact"/>
        <w:rPr>
          <w:sz w:val="20"/>
          <w:szCs w:val="20"/>
          <w:color w:val="auto"/>
        </w:rPr>
      </w:pPr>
    </w:p>
    <w:p>
      <w:pPr>
        <w:ind w:left="1280" w:hanging="633"/>
        <w:spacing w:after="0"/>
        <w:tabs>
          <w:tab w:leader="none" w:pos="128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Withholding and Advice</w:t>
      </w:r>
      <w:r>
        <w:rPr>
          <w:rFonts w:ascii="Times New Roman" w:cs="Times New Roman" w:eastAsia="Times New Roman" w:hAnsi="Times New Roman"/>
          <w:sz w:val="20"/>
          <w:szCs w:val="20"/>
          <w:b w:val="1"/>
          <w:bCs w:val="1"/>
          <w:color w:val="auto"/>
        </w:rPr>
        <w:t>.</w:t>
      </w:r>
    </w:p>
    <w:p>
      <w:pPr>
        <w:spacing w:after="0" w:line="184" w:lineRule="exact"/>
        <w:rPr>
          <w:sz w:val="20"/>
          <w:szCs w:val="20"/>
          <w:color w:val="auto"/>
        </w:rPr>
      </w:pPr>
    </w:p>
    <w:p>
      <w:pPr>
        <w:ind w:firstLine="128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7.1 In General. </w:t>
      </w:r>
      <w:r>
        <w:rPr>
          <w:rFonts w:ascii="Times New Roman" w:cs="Times New Roman" w:eastAsia="Times New Roman" w:hAnsi="Times New Roman"/>
          <w:sz w:val="18"/>
          <w:szCs w:val="18"/>
          <w:color w:val="auto"/>
        </w:rPr>
        <w:t>The Participant acknowledges that, regardless of any action taken by the Company or, if different,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the ultimate liability for all income tax, social insurance, payroll tax, fringe benefits tax, payment on</w:t>
      </w:r>
    </w:p>
    <w:p>
      <w:pPr>
        <w:spacing w:after="0" w:line="232" w:lineRule="auto"/>
        <w:rPr>
          <w:sz w:val="20"/>
          <w:szCs w:val="20"/>
          <w:color w:val="auto"/>
        </w:rPr>
      </w:pPr>
      <w:r>
        <w:rPr>
          <w:rFonts w:ascii="Times New Roman" w:cs="Times New Roman" w:eastAsia="Times New Roman" w:hAnsi="Times New Roman"/>
          <w:sz w:val="18"/>
          <w:szCs w:val="18"/>
          <w:color w:val="auto"/>
        </w:rPr>
        <w:t>account or other tax-related items related to the Participant’s participation in the Plan and legally applicable to the Participant or deemed by the</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Company or the Employer in its discretion to be an appropriate charge to the Participant even if legally applicable to the Company or the Employer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the Participant’s responsibility and may exceed the amount actually withheld by the Company</w:t>
      </w:r>
    </w:p>
    <w:p>
      <w:pPr>
        <w:spacing w:after="0" w:line="209" w:lineRule="auto"/>
        <w:rPr>
          <w:sz w:val="20"/>
          <w:szCs w:val="20"/>
          <w:color w:val="auto"/>
        </w:rPr>
      </w:pPr>
      <w:r>
        <w:rPr>
          <w:rFonts w:ascii="Times New Roman" w:cs="Times New Roman" w:eastAsia="Times New Roman" w:hAnsi="Times New Roman"/>
          <w:sz w:val="20"/>
          <w:szCs w:val="20"/>
          <w:color w:val="auto"/>
        </w:rPr>
        <w:t>or the Employer. The Participant further acknowledges that the Company and/or the Employer (i) make no representations or undertakings</w:t>
      </w:r>
    </w:p>
    <w:p>
      <w:pPr>
        <w:spacing w:after="0" w:line="224" w:lineRule="auto"/>
        <w:rPr>
          <w:sz w:val="20"/>
          <w:szCs w:val="20"/>
          <w:color w:val="auto"/>
        </w:rPr>
      </w:pPr>
      <w:r>
        <w:rPr>
          <w:rFonts w:ascii="Times New Roman" w:cs="Times New Roman" w:eastAsia="Times New Roman" w:hAnsi="Times New Roman"/>
          <w:sz w:val="18"/>
          <w:szCs w:val="18"/>
          <w:color w:val="auto"/>
        </w:rPr>
        <w:t>regarding the treatment of any Tax-Related Items in connection with any aspect of the Units, including, but not limited to, the grant, vesting or settlement of the Units, the subsequent sale of Shares acquired pursuant to such settlement and the receipt of any dividends; and (ii) do not</w:t>
      </w:r>
    </w:p>
    <w:p>
      <w:pPr>
        <w:spacing w:after="0" w:line="209" w:lineRule="auto"/>
        <w:rPr>
          <w:sz w:val="20"/>
          <w:szCs w:val="20"/>
          <w:color w:val="auto"/>
        </w:rPr>
      </w:pPr>
      <w:r>
        <w:rPr>
          <w:rFonts w:ascii="Times New Roman" w:cs="Times New Roman" w:eastAsia="Times New Roman" w:hAnsi="Times New Roman"/>
          <w:sz w:val="20"/>
          <w:szCs w:val="20"/>
          <w:color w:val="auto"/>
        </w:rPr>
        <w:t>commit to and are under no obligation to structure the terms of the grant or any aspect of the Units to reduce or eliminate the Participant’s</w:t>
      </w:r>
    </w:p>
    <w:p>
      <w:pPr>
        <w:spacing w:after="0" w:line="224" w:lineRule="auto"/>
        <w:rPr>
          <w:sz w:val="20"/>
          <w:szCs w:val="20"/>
          <w:color w:val="auto"/>
        </w:rPr>
      </w:pPr>
      <w:r>
        <w:rPr>
          <w:rFonts w:ascii="Times New Roman" w:cs="Times New Roman" w:eastAsia="Times New Roman" w:hAnsi="Times New Roman"/>
          <w:sz w:val="18"/>
          <w:szCs w:val="18"/>
          <w:color w:val="auto"/>
        </w:rPr>
        <w:t>liability for Tax-Related Items or achieve any particular tax result. Further, if the Participant is subject to Tax-Related Items in more than one jurisdiction between the Grant Date and the date of any relevant taxable or tax withholding event, as applicable, the Participant acknowledges</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that the Company and/or the Employer (or former employer, as applicable) may be required to withhold or account for Tax-Related Items in more than one jurisdiction.</w:t>
      </w:r>
    </w:p>
    <w:p>
      <w:pPr>
        <w:spacing w:after="0" w:line="143" w:lineRule="exact"/>
        <w:rPr>
          <w:sz w:val="20"/>
          <w:szCs w:val="20"/>
          <w:color w:val="auto"/>
        </w:rPr>
      </w:pPr>
    </w:p>
    <w:p>
      <w:pPr>
        <w:ind w:firstLine="1281"/>
        <w:spacing w:after="0" w:line="222" w:lineRule="auto"/>
        <w:rPr>
          <w:sz w:val="20"/>
          <w:szCs w:val="20"/>
          <w:color w:val="auto"/>
        </w:rPr>
      </w:pPr>
      <w:r>
        <w:rPr>
          <w:rFonts w:ascii="Times New Roman" w:cs="Times New Roman" w:eastAsia="Times New Roman" w:hAnsi="Times New Roman"/>
          <w:sz w:val="20"/>
          <w:szCs w:val="20"/>
          <w:b w:val="1"/>
          <w:bCs w:val="1"/>
          <w:color w:val="auto"/>
        </w:rPr>
        <w:t xml:space="preserve">7.2 Withholding of Taxes. </w:t>
      </w:r>
      <w:r>
        <w:rPr>
          <w:rFonts w:ascii="Times New Roman" w:cs="Times New Roman" w:eastAsia="Times New Roman" w:hAnsi="Times New Roman"/>
          <w:sz w:val="20"/>
          <w:szCs w:val="20"/>
          <w:color w:val="auto"/>
        </w:rPr>
        <w:t>Prior to any relevant taxable or tax withholding event, as applicable, the Participant agrees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adequate arrangements satisfactory to the Company and/or the Employer to satisfy all Tax-Related Items (including hypothetical</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withholding tax amounts if the Participant is covered under a Company tax equalization policy). In this regard, the Participant authorizes the Company or its agent to satisfy the obligations with regard to all Tax-Related Items by withholding in Shares to be issued upon settlement of</w:t>
      </w:r>
    </w:p>
    <w:p>
      <w:pPr>
        <w:spacing w:after="0" w:line="209" w:lineRule="auto"/>
        <w:rPr>
          <w:sz w:val="20"/>
          <w:szCs w:val="20"/>
          <w:color w:val="auto"/>
        </w:rPr>
      </w:pPr>
      <w:r>
        <w:rPr>
          <w:rFonts w:ascii="Times New Roman" w:cs="Times New Roman" w:eastAsia="Times New Roman" w:hAnsi="Times New Roman"/>
          <w:sz w:val="20"/>
          <w:szCs w:val="20"/>
          <w:color w:val="auto"/>
        </w:rPr>
        <w:t>the Units. Alternatively, by the Participant’s acceptance of the Units, the Participant authorizes and agrees that the Company may direct any</w:t>
      </w:r>
    </w:p>
    <w:p>
      <w:pPr>
        <w:spacing w:after="0" w:line="201" w:lineRule="auto"/>
        <w:rPr>
          <w:sz w:val="20"/>
          <w:szCs w:val="20"/>
          <w:color w:val="auto"/>
        </w:rPr>
      </w:pPr>
      <w:r>
        <w:rPr>
          <w:rFonts w:ascii="Times New Roman" w:cs="Times New Roman" w:eastAsia="Times New Roman" w:hAnsi="Times New Roman"/>
          <w:sz w:val="20"/>
          <w:szCs w:val="20"/>
          <w:color w:val="auto"/>
        </w:rPr>
        <w:t>brokerage firm determined acceptable to the Company to sell on the Participant’s behalf a whole number of Shares from those Shares issued to the Participant as the Company determines to be appropriate to generate cash proceeds sufficient to satisfy the obligation for Tax-Related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4" w:right="339" w:bottom="1440" w:gutter="0" w:footer="0" w:header="0"/>
        </w:sectPr>
      </w:pPr>
    </w:p>
    <w:bookmarkStart w:id="90" w:name="page91"/>
    <w:bookmarkEnd w:id="90"/>
    <w:p>
      <w:pPr>
        <w:jc w:val="both"/>
        <w:ind w:firstLine="1281"/>
        <w:spacing w:after="0" w:line="250"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Participant will receive a refund of any over-withheld amount in cash and will have no entitlement to the Common Stock equivalent. If the obligation for Tax-Related Items is satisfied by withholding in Shares, for tax purposes, the Participant is deemed to have been issued the full number of Shares subject to the vested Units, notwithstanding that a number of the Shares are held back solely for the purpose of paying the Tax-Related Items .</w:t>
      </w:r>
    </w:p>
    <w:p>
      <w:pPr>
        <w:spacing w:after="0" w:line="190" w:lineRule="exact"/>
        <w:rPr>
          <w:sz w:val="20"/>
          <w:szCs w:val="20"/>
          <w:color w:val="auto"/>
        </w:rPr>
      </w:pPr>
    </w:p>
    <w:p>
      <w:pPr>
        <w:jc w:val="both"/>
        <w:ind w:firstLine="1281"/>
        <w:spacing w:after="0" w:line="247" w:lineRule="auto"/>
        <w:rPr>
          <w:sz w:val="20"/>
          <w:szCs w:val="20"/>
          <w:color w:val="auto"/>
        </w:rPr>
      </w:pPr>
      <w:r>
        <w:rPr>
          <w:rFonts w:ascii="Times New Roman" w:cs="Times New Roman" w:eastAsia="Times New Roman" w:hAnsi="Times New Roman"/>
          <w:sz w:val="20"/>
          <w:szCs w:val="20"/>
          <w:color w:val="auto"/>
        </w:rPr>
        <w:t>If the Participant is covered by a Company tax equalization policy, the Participant agrees to pay to the Company any additional hypothetical tax obligation calculated and paid under the terms and conditions of such tax equalization policy. Finally, the Participant agrees to pay to the Company or the Employer, including through direct payment from the Participant and/or withholding from the Participant’s wages or other cash compensation paid to the Participant by the Company and/or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in connection with the Tax-Related Items.</w:t>
      </w:r>
    </w:p>
    <w:p>
      <w:pPr>
        <w:spacing w:after="0" w:line="180" w:lineRule="exact"/>
        <w:rPr>
          <w:sz w:val="20"/>
          <w:szCs w:val="20"/>
          <w:color w:val="auto"/>
        </w:rPr>
      </w:pPr>
    </w:p>
    <w:p>
      <w:pPr>
        <w:jc w:val="both"/>
        <w:ind w:firstLine="1281"/>
        <w:spacing w:after="0" w:line="215" w:lineRule="auto"/>
        <w:rPr>
          <w:sz w:val="20"/>
          <w:szCs w:val="20"/>
          <w:color w:val="auto"/>
        </w:rPr>
      </w:pPr>
      <w:r>
        <w:rPr>
          <w:rFonts w:ascii="Times New Roman" w:cs="Times New Roman" w:eastAsia="Times New Roman" w:hAnsi="Times New Roman"/>
          <w:sz w:val="20"/>
          <w:szCs w:val="20"/>
          <w:b w:val="1"/>
          <w:bCs w:val="1"/>
          <w:color w:val="auto"/>
        </w:rPr>
        <w:t>7.3 Tax Advice</w:t>
      </w:r>
      <w:r>
        <w:rPr>
          <w:rFonts w:ascii="Times New Roman" w:cs="Times New Roman" w:eastAsia="Times New Roman" w:hAnsi="Times New Roman"/>
          <w:sz w:val="20"/>
          <w:szCs w:val="20"/>
          <w:color w:val="auto"/>
        </w:rPr>
        <w:t>. The Participant represents, warrants and acknowledges that the Company has made no warranties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to the Participant with respect to the income tax, social contributions or other tax consequences of the transactions</w:t>
      </w:r>
    </w:p>
    <w:p>
      <w:pPr>
        <w:spacing w:after="0" w:line="233" w:lineRule="auto"/>
        <w:rPr>
          <w:sz w:val="20"/>
          <w:szCs w:val="20"/>
          <w:color w:val="auto"/>
        </w:rPr>
      </w:pPr>
      <w:r>
        <w:rPr>
          <w:rFonts w:ascii="Times New Roman" w:cs="Times New Roman" w:eastAsia="Times New Roman" w:hAnsi="Times New Roman"/>
          <w:sz w:val="18"/>
          <w:szCs w:val="18"/>
          <w:color w:val="auto"/>
        </w:rPr>
        <w:t>contemplated by this Award Agreement, and the Participant is in no manner relying on the Company or the Company’s representatives for an</w:t>
      </w:r>
    </w:p>
    <w:p>
      <w:pPr>
        <w:jc w:val="both"/>
        <w:spacing w:after="0" w:line="224" w:lineRule="auto"/>
        <w:rPr>
          <w:sz w:val="20"/>
          <w:szCs w:val="20"/>
          <w:color w:val="auto"/>
        </w:rPr>
      </w:pPr>
      <w:r>
        <w:rPr>
          <w:rFonts w:ascii="Times New Roman" w:cs="Times New Roman" w:eastAsia="Times New Roman" w:hAnsi="Times New Roman"/>
          <w:sz w:val="18"/>
          <w:szCs w:val="18"/>
          <w:color w:val="auto"/>
        </w:rPr>
        <w:t>assessment of such tax consequences. THE PARTICIPANT UNDERSTANDS THAT THE TAX AND SOCIAL SECURITY LAWS AND REGULATIONS ARE SUBJECT TO CHANGE. THE PARTICIPANT IS HEREBY ADVISED TO CONSULT WITH HIS OR HER OWN</w:t>
      </w:r>
    </w:p>
    <w:p>
      <w:pPr>
        <w:spacing w:after="0" w:line="209" w:lineRule="auto"/>
        <w:rPr>
          <w:sz w:val="20"/>
          <w:szCs w:val="20"/>
          <w:color w:val="auto"/>
        </w:rPr>
      </w:pPr>
      <w:r>
        <w:rPr>
          <w:rFonts w:ascii="Times New Roman" w:cs="Times New Roman" w:eastAsia="Times New Roman" w:hAnsi="Times New Roman"/>
          <w:sz w:val="20"/>
          <w:szCs w:val="20"/>
          <w:color w:val="auto"/>
        </w:rPr>
        <w:t>PERSONAL TAX, LEGAL AND FINANCIAL ADVISORS REGARDING THE PARTICIPANT’S PARTICIPATION IN THE PLAN</w:t>
      </w:r>
    </w:p>
    <w:p>
      <w:pPr>
        <w:jc w:val="both"/>
        <w:ind w:right="20"/>
        <w:spacing w:after="0" w:line="218" w:lineRule="auto"/>
        <w:rPr>
          <w:sz w:val="20"/>
          <w:szCs w:val="20"/>
          <w:color w:val="auto"/>
        </w:rPr>
      </w:pPr>
      <w:r>
        <w:rPr>
          <w:rFonts w:ascii="Times New Roman" w:cs="Times New Roman" w:eastAsia="Times New Roman" w:hAnsi="Times New Roman"/>
          <w:sz w:val="20"/>
          <w:szCs w:val="20"/>
          <w:color w:val="auto"/>
        </w:rPr>
        <w:t>BEFORE TAKING ANY ACTION RELATED TO THE PLAN. NOTHING STATED HEREIN IS INTENDED OR WRITTEN TO BE USED, AND CANNOT BE USED, FOR THE PURPOSE OF AVOIDING TAXPAYER PENALTIES.</w:t>
      </w:r>
    </w:p>
    <w:p>
      <w:pPr>
        <w:spacing w:after="0" w:line="161" w:lineRule="exact"/>
        <w:rPr>
          <w:sz w:val="20"/>
          <w:szCs w:val="20"/>
          <w:color w:val="auto"/>
        </w:rPr>
      </w:pPr>
    </w:p>
    <w:p>
      <w:pPr>
        <w:ind w:left="1280" w:hanging="633"/>
        <w:spacing w:after="0"/>
        <w:tabs>
          <w:tab w:leader="none" w:pos="128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Authorization to Release Necessary Personal Information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Participant hereby explicitly and unambiguously consents to the collection, use and transfer, in electronic or other form, of the Participant’s personal data as described in this Award Agreement, the Appendix and any other Award grant materials (“Data”) by and among, as applicable, the Employer, the Company and its Subsidiaries and Affiliates for the exclusive purpose of implementing, administering and managing the Participant’s participation in the Plan.</w:t>
      </w:r>
    </w:p>
    <w:p>
      <w:pPr>
        <w:spacing w:after="0" w:line="18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Participant’s favor, for the exclusive purpose of implementing, administering and managing the Plan.</w:t>
      </w:r>
    </w:p>
    <w:p>
      <w:pPr>
        <w:spacing w:after="0" w:line="185" w:lineRule="exact"/>
        <w:rPr>
          <w:sz w:val="20"/>
          <w:szCs w:val="20"/>
          <w:color w:val="auto"/>
        </w:rPr>
      </w:pPr>
    </w:p>
    <w:p>
      <w:pPr>
        <w:jc w:val="both"/>
        <w:ind w:firstLine="640"/>
        <w:spacing w:after="0" w:line="300" w:lineRule="auto"/>
        <w:rPr>
          <w:sz w:val="20"/>
          <w:szCs w:val="20"/>
          <w:color w:val="auto"/>
        </w:rPr>
      </w:pPr>
      <w:r>
        <w:rPr>
          <w:rFonts w:ascii="Times New Roman" w:cs="Times New Roman" w:eastAsia="Times New Roman" w:hAnsi="Times New Roman"/>
          <w:sz w:val="18"/>
          <w:szCs w:val="18"/>
          <w:b w:val="1"/>
          <w:bCs w:val="1"/>
          <w:i w:val="1"/>
          <w:iCs w:val="1"/>
          <w:color w:val="auto"/>
        </w:rPr>
        <w:t>The Company’s equity compensation plan recordkeeper is Fidelity Stock Plan Services, LLC (the “Recordkeeper”). The Participant understands that Data will be transferred to the Recordkeeper or such other stock plan service provider as may be selected by the Company in the future, which is assisting the Company with the implementation, administration and management of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8" w:right="339" w:bottom="1440" w:gutter="0" w:footer="0" w:header="0"/>
        </w:sectPr>
      </w:pPr>
    </w:p>
    <w:bookmarkStart w:id="91" w:name="page92"/>
    <w:bookmarkEnd w:id="91"/>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recipients of the Data may be located in the United States or elsewhere, and that the recipients’ country (e.g., the United States) may have different data privacy laws and protections than the Participant’s country. The Participant understands that if he or she resides outside the United States, he or she may request a list with the names and addresses of any potential recipients of the Data by contacting the Company’s stock administration department. The Participant authorizes the Company, the Recordkeeper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The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the Company’s stock administration department.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adverse consequence of refusing or withdrawing the Participant’s consent is that the Company would not be able to grant the Participant Units or other equity awards or administer or maintain such awards.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Company’s stock administration department.</w:t>
      </w:r>
    </w:p>
    <w:p>
      <w:pPr>
        <w:spacing w:after="0" w:line="381" w:lineRule="exact"/>
        <w:rPr>
          <w:sz w:val="20"/>
          <w:szCs w:val="20"/>
          <w:color w:val="auto"/>
        </w:rPr>
      </w:pPr>
    </w:p>
    <w:p>
      <w:pPr>
        <w:ind w:left="1280" w:hanging="633"/>
        <w:spacing w:after="0"/>
        <w:tabs>
          <w:tab w:leader="none" w:pos="1280" w:val="left"/>
        </w:tabs>
        <w:numPr>
          <w:ilvl w:val="0"/>
          <w:numId w:val="5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i w:val="1"/>
          <w:iCs w:val="1"/>
          <w:color w:val="auto"/>
        </w:rPr>
        <w:t>.</w:t>
      </w:r>
    </w:p>
    <w:p>
      <w:pPr>
        <w:spacing w:after="0" w:line="184" w:lineRule="exact"/>
        <w:rPr>
          <w:sz w:val="20"/>
          <w:szCs w:val="20"/>
          <w:color w:val="auto"/>
        </w:rPr>
      </w:pPr>
    </w:p>
    <w:p>
      <w:pPr>
        <w:ind w:firstLine="128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9.1 Effect on Award of Change in Control Before End of Performance Period. </w:t>
      </w:r>
      <w:r>
        <w:rPr>
          <w:rFonts w:ascii="Times New Roman" w:cs="Times New Roman" w:eastAsia="Times New Roman" w:hAnsi="Times New Roman"/>
          <w:sz w:val="18"/>
          <w:szCs w:val="18"/>
          <w:color w:val="auto"/>
        </w:rPr>
        <w:t>In the event of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end of the Performance Period as set forth in the Grant Notice, the Performance Period shall end on the day immediately preceding</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the Change in Control (the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The number of Earned Units and the vesting of those Units shall be determined for the Adjusted Performance Period in accordance with the following:</w:t>
      </w:r>
    </w:p>
    <w:p>
      <w:pPr>
        <w:spacing w:after="0" w:line="139"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b w:val="1"/>
          <w:bCs w:val="1"/>
          <w:color w:val="auto"/>
        </w:rPr>
        <w:t xml:space="preserve">Earned Units. </w:t>
      </w:r>
      <w:r>
        <w:rPr>
          <w:rFonts w:ascii="Times New Roman" w:cs="Times New Roman" w:eastAsia="Times New Roman" w:hAnsi="Times New Roman"/>
          <w:sz w:val="20"/>
          <w:szCs w:val="20"/>
          <w:color w:val="auto"/>
        </w:rPr>
        <w:t>The number of Earned Units for the Adjusted Performance Period shall equal the Target</w:t>
      </w:r>
    </w:p>
    <w:p>
      <w:pPr>
        <w:spacing w:after="0"/>
        <w:rPr>
          <w:sz w:val="20"/>
          <w:szCs w:val="20"/>
          <w:color w:val="auto"/>
        </w:rPr>
      </w:pPr>
      <w:r>
        <w:rPr>
          <w:rFonts w:ascii="Times New Roman" w:cs="Times New Roman" w:eastAsia="Times New Roman" w:hAnsi="Times New Roman"/>
          <w:sz w:val="20"/>
          <w:szCs w:val="20"/>
          <w:color w:val="auto"/>
        </w:rPr>
        <w:t>Number of Units.</w:t>
      </w:r>
    </w:p>
    <w:p>
      <w:pPr>
        <w:spacing w:after="0" w:line="158" w:lineRule="exact"/>
        <w:rPr>
          <w:sz w:val="20"/>
          <w:szCs w:val="20"/>
          <w:color w:val="auto"/>
        </w:rPr>
      </w:pPr>
    </w:p>
    <w:p>
      <w:pPr>
        <w:jc w:val="both"/>
        <w:ind w:firstLine="1928"/>
        <w:spacing w:after="0" w:line="209" w:lineRule="auto"/>
        <w:tabs>
          <w:tab w:leader="none" w:pos="254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Vested Units if Award Assumed. </w:t>
      </w:r>
      <w:r>
        <w:rPr>
          <w:rFonts w:ascii="Times New Roman" w:cs="Times New Roman" w:eastAsia="Times New Roman" w:hAnsi="Times New Roman"/>
          <w:sz w:val="20"/>
          <w:szCs w:val="20"/>
          <w:color w:val="auto"/>
        </w:rPr>
        <w:t>In the event of a Change in Control before the end of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in connection with which the Award will be assumed or replaced with a substitute Award, as described in Section 11 of the Plan, then, as of the last day of the Adjusted Performance Period and provided that the Participant’s Service has not terminated prior to such date, a portion of the Earned Units determined in accordance with Section 9.1(a) shall become Vested Units (the “</w:t>
      </w:r>
      <w:r>
        <w:rPr>
          <w:rFonts w:ascii="Times New Roman" w:cs="Times New Roman" w:eastAsia="Times New Roman" w:hAnsi="Times New Roman"/>
          <w:sz w:val="20"/>
          <w:szCs w:val="20"/>
          <w:b w:val="1"/>
          <w:bCs w:val="1"/>
          <w:i w:val="1"/>
          <w:iCs w:val="1"/>
          <w:color w:val="auto"/>
        </w:rPr>
        <w:t>Accelerated Units</w:t>
      </w:r>
      <w:r>
        <w:rPr>
          <w:rFonts w:ascii="Times New Roman" w:cs="Times New Roman" w:eastAsia="Times New Roman" w:hAnsi="Times New Roman"/>
          <w:sz w:val="20"/>
          <w:szCs w:val="20"/>
          <w:color w:val="auto"/>
        </w:rPr>
        <w:t>”), with such portion determined by multiplying the total number of Earned Units by a fraction, the numerator of which equals the number of days contained in the Adjusted Performance Period and the denominator of which equals the number of days contained in the original Performance Period determined without regard to this Section. The Accelerated Units shall be settled in accordance Section 6 immediately prior to the consummation of the Change in Control. Except as otherwise provided by Section 9.3, that portion of the Earned Units determined in accordance with Section 9.1(a) in excess of the number of Accelerated Units shall become Vested Units on the Vesting Date of the original Performance Period determined without regard to this Section, provided that the Participant’s Service has not terminated prior to such Vesting Date. Such Vested Units shall be settled on the Settlement Date in accordance with Section 6, provided that payment for each Vested Unit shall be made in the amount and in the form of the consideration (whether stock, cash, other securities or property or a combination thereof) to which a holder of a Share on the effective date of the Change in Control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3" w:right="339" w:bottom="1440" w:gutter="0" w:footer="0" w:header="0"/>
        </w:sectPr>
      </w:pPr>
    </w:p>
    <w:bookmarkStart w:id="92" w:name="page93"/>
    <w:bookmarkEnd w:id="92"/>
    <w:p>
      <w:pPr>
        <w:ind w:right="20"/>
        <w:spacing w:after="0" w:line="237" w:lineRule="auto"/>
        <w:rPr>
          <w:sz w:val="20"/>
          <w:szCs w:val="20"/>
          <w:color w:val="auto"/>
        </w:rPr>
      </w:pPr>
      <w:r>
        <w:rPr>
          <w:rFonts w:ascii="Times New Roman" w:cs="Times New Roman" w:eastAsia="Times New Roman" w:hAnsi="Times New Roman"/>
          <w:sz w:val="20"/>
          <w:szCs w:val="20"/>
          <w:color w:val="auto"/>
        </w:rPr>
        <w:t>entitled (and if holders were offered a choice of consideration, the type of consideration chosen by the holders of a majority of the outstanding Shares).</w:t>
      </w:r>
    </w:p>
    <w:p>
      <w:pPr>
        <w:spacing w:after="0" w:line="142" w:lineRule="exact"/>
        <w:rPr>
          <w:sz w:val="20"/>
          <w:szCs w:val="20"/>
          <w:color w:val="auto"/>
        </w:rPr>
      </w:pPr>
    </w:p>
    <w:p>
      <w:pPr>
        <w:jc w:val="both"/>
        <w:ind w:firstLine="1928"/>
        <w:spacing w:after="0" w:line="218" w:lineRule="auto"/>
        <w:tabs>
          <w:tab w:leader="none" w:pos="255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Vested Units if Award Not Assumed. </w:t>
      </w:r>
      <w:r>
        <w:rPr>
          <w:rFonts w:ascii="Times New Roman" w:cs="Times New Roman" w:eastAsia="Times New Roman" w:hAnsi="Times New Roman"/>
          <w:sz w:val="20"/>
          <w:szCs w:val="20"/>
          <w:color w:val="auto"/>
        </w:rPr>
        <w:t>In the event of a Change in Control before the end of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in connection with which the Award will not be assumed or replaced with a substitute Award, as described in Section 11 of the Plan, then, as of the last day of the Adjusted Performance Period and provided that the Participant’s Service has not terminated prior to such date, all of the Earned Units determined in accordance with Section 9.1(a) shall become Vested Units and shall be settled in accordance Section 6 immediately prior to the consummation of the Change in Control.</w:t>
      </w:r>
    </w:p>
    <w:p>
      <w:pPr>
        <w:spacing w:after="0" w:line="156" w:lineRule="exact"/>
        <w:rPr>
          <w:sz w:val="20"/>
          <w:szCs w:val="20"/>
          <w:color w:val="auto"/>
        </w:rPr>
      </w:pPr>
    </w:p>
    <w:p>
      <w:pPr>
        <w:ind w:firstLine="1281"/>
        <w:spacing w:after="0" w:line="215" w:lineRule="auto"/>
        <w:rPr>
          <w:sz w:val="20"/>
          <w:szCs w:val="20"/>
          <w:color w:val="auto"/>
        </w:rPr>
      </w:pPr>
      <w:r>
        <w:rPr>
          <w:rFonts w:ascii="Times New Roman" w:cs="Times New Roman" w:eastAsia="Times New Roman" w:hAnsi="Times New Roman"/>
          <w:sz w:val="20"/>
          <w:szCs w:val="20"/>
          <w:b w:val="1"/>
          <w:bCs w:val="1"/>
          <w:color w:val="auto"/>
        </w:rPr>
        <w:t xml:space="preserve">9.2 Effect on Award of Change in Control After End of Performance Period But Before Vesting Date. </w:t>
      </w:r>
      <w:r>
        <w:rPr>
          <w:rFonts w:ascii="Times New Roman" w:cs="Times New Roman" w:eastAsia="Times New Roman" w:hAnsi="Times New Roman"/>
          <w:sz w:val="20"/>
          <w:szCs w:val="20"/>
          <w:color w:val="auto"/>
        </w:rPr>
        <w:t>In the event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Change in Control upon or after the end of the Performance Period but before the Vesting Date, each as set forth in the Grant Notice, the</w:t>
      </w:r>
    </w:p>
    <w:p>
      <w:pPr>
        <w:spacing w:after="0" w:line="209" w:lineRule="auto"/>
        <w:rPr>
          <w:sz w:val="20"/>
          <w:szCs w:val="20"/>
          <w:color w:val="auto"/>
        </w:rPr>
      </w:pPr>
      <w:r>
        <w:rPr>
          <w:rFonts w:ascii="Times New Roman" w:cs="Times New Roman" w:eastAsia="Times New Roman" w:hAnsi="Times New Roman"/>
          <w:sz w:val="20"/>
          <w:szCs w:val="20"/>
          <w:color w:val="auto"/>
        </w:rPr>
        <w:t>number of Earned Units determined in accordance with the Grant Notice shall become Vested Units and shall be settled in accordance</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Section 6 immediately prior to the consummation of the Change in Control, provided that the Participant’s Service has not previously terminated.</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20"/>
          <w:szCs w:val="20"/>
          <w:b w:val="1"/>
          <w:bCs w:val="1"/>
          <w:color w:val="auto"/>
        </w:rPr>
        <w:t xml:space="preserve">Involuntary Termination Following Change in Control. </w:t>
      </w:r>
      <w:r>
        <w:rPr>
          <w:rFonts w:ascii="Times New Roman" w:cs="Times New Roman" w:eastAsia="Times New Roman" w:hAnsi="Times New Roman"/>
          <w:sz w:val="20"/>
          <w:szCs w:val="20"/>
          <w:color w:val="auto"/>
        </w:rPr>
        <w:t>In the event that upon or within eighteen (18) months</w:t>
      </w:r>
    </w:p>
    <w:p>
      <w:pPr>
        <w:spacing w:after="0" w:line="224" w:lineRule="auto"/>
        <w:rPr>
          <w:sz w:val="20"/>
          <w:szCs w:val="20"/>
          <w:color w:val="auto"/>
        </w:rPr>
      </w:pPr>
      <w:r>
        <w:rPr>
          <w:rFonts w:ascii="Times New Roman" w:cs="Times New Roman" w:eastAsia="Times New Roman" w:hAnsi="Times New Roman"/>
          <w:sz w:val="18"/>
          <w:szCs w:val="18"/>
          <w:color w:val="auto"/>
        </w:rPr>
        <w:t>following the effective date of the Change in Control, the Participant’s Service terminates due to Involuntary Termination, then all Earned Units that have not previously become Vested Units, if any, shall be deemed Vested Units effective as of the effective date of the Participant’s</w:t>
      </w:r>
    </w:p>
    <w:p>
      <w:pPr>
        <w:spacing w:after="0" w:line="232" w:lineRule="auto"/>
        <w:rPr>
          <w:sz w:val="20"/>
          <w:szCs w:val="20"/>
          <w:color w:val="auto"/>
        </w:rPr>
      </w:pPr>
      <w:r>
        <w:rPr>
          <w:rFonts w:ascii="Times New Roman" w:cs="Times New Roman" w:eastAsia="Times New Roman" w:hAnsi="Times New Roman"/>
          <w:sz w:val="18"/>
          <w:szCs w:val="18"/>
          <w:color w:val="auto"/>
        </w:rPr>
        <w:t>Involuntary Termination (as determined in accordance with Section 9.4) and shall be settled in accordance with Section 6, treating the date of</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effective date of the Change in Control was entitled (and if holders were offered a choice of consideration, the type of consideration chosen by the holders of a majority of the outstanding Shares). Earned Units vested as a result of the Participant’s Involuntary Termination shall be settled</w:t>
      </w:r>
    </w:p>
    <w:p>
      <w:pPr>
        <w:spacing w:after="0" w:line="186" w:lineRule="auto"/>
        <w:rPr>
          <w:sz w:val="20"/>
          <w:szCs w:val="20"/>
          <w:color w:val="auto"/>
        </w:rPr>
      </w:pPr>
      <w:r>
        <w:rPr>
          <w:rFonts w:ascii="Times New Roman" w:cs="Times New Roman" w:eastAsia="Times New Roman" w:hAnsi="Times New Roman"/>
          <w:sz w:val="18"/>
          <w:szCs w:val="18"/>
          <w:color w:val="auto"/>
        </w:rPr>
        <w:t>in accordance with Section 6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of the Participant’s termination of employment or service provided that the</w:t>
      </w:r>
    </w:p>
    <w:p>
      <w:pPr>
        <w:spacing w:after="0" w:line="1"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20"/>
          <w:szCs w:val="20"/>
          <w:color w:val="auto"/>
        </w:rPr>
        <w:t>Participant has signed a full general release in a form prepared by or otherwise acceptable to Company, releasing all claims, known or unknown, that the Participant may have against Company and its officers, directors, employees and affiliated companies, arising out of or in</w:t>
      </w:r>
    </w:p>
    <w:p>
      <w:pPr>
        <w:spacing w:after="0" w:line="204" w:lineRule="auto"/>
        <w:rPr>
          <w:sz w:val="20"/>
          <w:szCs w:val="20"/>
          <w:color w:val="auto"/>
        </w:rPr>
      </w:pPr>
      <w:r>
        <w:rPr>
          <w:rFonts w:ascii="Times New Roman" w:cs="Times New Roman" w:eastAsia="Times New Roman" w:hAnsi="Times New Roman"/>
          <w:sz w:val="20"/>
          <w:szCs w:val="20"/>
          <w:color w:val="auto"/>
        </w:rPr>
        <w:t>any way related to the Participant’s employment or service or termination of employment or service with Company and the period for</w:t>
      </w:r>
    </w:p>
    <w:p>
      <w:pPr>
        <w:spacing w:after="0" w:line="1" w:lineRule="exact"/>
        <w:rPr>
          <w:sz w:val="20"/>
          <w:szCs w:val="20"/>
          <w:color w:val="auto"/>
        </w:rPr>
      </w:pPr>
    </w:p>
    <w:p>
      <w:pPr>
        <w:spacing w:after="0" w:line="186" w:lineRule="auto"/>
        <w:rPr>
          <w:sz w:val="20"/>
          <w:szCs w:val="20"/>
          <w:color w:val="auto"/>
        </w:rPr>
      </w:pPr>
      <w:r>
        <w:rPr>
          <w:rFonts w:ascii="Times New Roman" w:cs="Times New Roman" w:eastAsia="Times New Roman" w:hAnsi="Times New Roman"/>
          <w:sz w:val="17"/>
          <w:szCs w:val="17"/>
          <w:color w:val="auto"/>
        </w:rPr>
        <w:t>revocation, if any, of such release has lapsed on or before such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without the release having been revoked. In the event that such release does not become effective in accordance with its terms on or before the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of the Participant’s termination of</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employment or service, the Participant shall forfeit, without compensation therefor, any Earned Units that were deemed vested as a result of the Participant’s Involuntary Termination.</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shall mean the termination of the employment or service of any Participant which occurs</w:t>
      </w:r>
    </w:p>
    <w:p>
      <w:pPr>
        <w:spacing w:after="0" w:line="222" w:lineRule="auto"/>
        <w:rPr>
          <w:sz w:val="20"/>
          <w:szCs w:val="20"/>
          <w:color w:val="auto"/>
        </w:rPr>
      </w:pPr>
      <w:r>
        <w:rPr>
          <w:rFonts w:ascii="Times New Roman" w:cs="Times New Roman" w:eastAsia="Times New Roman" w:hAnsi="Times New Roman"/>
          <w:sz w:val="20"/>
          <w:szCs w:val="20"/>
          <w:color w:val="auto"/>
        </w:rPr>
        <w:t>by reason of:</w:t>
      </w:r>
    </w:p>
    <w:p>
      <w:pPr>
        <w:ind w:left="1280"/>
        <w:spacing w:after="0" w:line="223" w:lineRule="auto"/>
        <w:rPr>
          <w:sz w:val="20"/>
          <w:szCs w:val="20"/>
          <w:color w:val="auto"/>
        </w:rPr>
      </w:pPr>
      <w:r>
        <w:rPr>
          <w:rFonts w:ascii="Times New Roman" w:cs="Times New Roman" w:eastAsia="Times New Roman" w:hAnsi="Times New Roman"/>
          <w:sz w:val="20"/>
          <w:szCs w:val="20"/>
          <w:color w:val="auto"/>
        </w:rPr>
        <w:t>9.5</w:t>
      </w:r>
    </w:p>
    <w:p>
      <w:pPr>
        <w:ind w:left="2560" w:hanging="632"/>
        <w:spacing w:after="0" w:line="232" w:lineRule="auto"/>
        <w:tabs>
          <w:tab w:leader="none" w:pos="2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involuntary dismissal or discharge by the Company or a Subsidiary or Affiliate for reasons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Misconduct, or</w:t>
      </w:r>
    </w:p>
    <w:p>
      <w:pPr>
        <w:spacing w:after="0" w:line="201" w:lineRule="exact"/>
        <w:rPr>
          <w:rFonts w:ascii="Times New Roman" w:cs="Times New Roman" w:eastAsia="Times New Roman" w:hAnsi="Times New Roman"/>
          <w:sz w:val="18"/>
          <w:szCs w:val="18"/>
          <w:color w:val="auto"/>
        </w:rPr>
      </w:pPr>
    </w:p>
    <w:p>
      <w:pPr>
        <w:jc w:val="both"/>
        <w:ind w:firstLine="1928"/>
        <w:spacing w:after="0" w:line="209" w:lineRule="auto"/>
        <w:tabs>
          <w:tab w:leader="none" w:pos="25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such Participant’s voluntary resignation following the initial existence of any of the following conditions: (A) a material diminution in the Participant’s authority, duties or responsibilities, (B) a material diminution in the Participant’s (i) base salary (including, without limitation, a reduction of base salary by more than 10%) or (ii) total cash compensation (including base salary and target bonus potential (including, without limitation, a reduction of total target cash compensation by more than 10%), (C) a material change in the geographic location at which the Participant must perform the services (including, without limitation, a change in the Participant’s assigned workplace that increases the Participant’s one-way commute by more than 35 miles), provided and only if such diminution or change is effected by the Company without the Participant’s written consent. No voluntary resignation by the Participant shall be treated as an Involuntary Termination pursuant to this Section 9.4(b) unless the Participant gives written notice to the Committee advising the Company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color w:val="auto"/>
        </w:rPr>
        <w:t>intended resignation (along with the facts and circumstances constituting the condition asserted as the reason for such resignation) within 30</w:t>
      </w:r>
    </w:p>
    <w:p>
      <w:pPr>
        <w:spacing w:after="0" w:line="221" w:lineRule="auto"/>
        <w:rPr>
          <w:sz w:val="20"/>
          <w:szCs w:val="20"/>
          <w:color w:val="auto"/>
        </w:rPr>
      </w:pPr>
      <w:r>
        <w:rPr>
          <w:rFonts w:ascii="Times New Roman" w:cs="Times New Roman" w:eastAsia="Times New Roman" w:hAnsi="Times New Roman"/>
          <w:sz w:val="18"/>
          <w:szCs w:val="18"/>
          <w:color w:val="auto"/>
        </w:rPr>
        <w:t>days after the time the Participant becomes aware of the existence of such condition and provides the Company a cure period of 30 days following such date that notice is delivered. If the Committee determines that the asserted condition exists and the Company does not cure such</w:t>
      </w:r>
    </w:p>
    <w:p>
      <w:pPr>
        <w:spacing w:after="0" w:line="188" w:lineRule="auto"/>
        <w:rPr>
          <w:sz w:val="20"/>
          <w:szCs w:val="20"/>
          <w:color w:val="auto"/>
        </w:rPr>
      </w:pPr>
      <w:r>
        <w:rPr>
          <w:rFonts w:ascii="Times New Roman" w:cs="Times New Roman" w:eastAsia="Times New Roman" w:hAnsi="Times New Roman"/>
          <w:sz w:val="20"/>
          <w:szCs w:val="20"/>
          <w:color w:val="auto"/>
        </w:rPr>
        <w:t>condition within the 30-day cure period, the Participant’s termination of employment or service shall be effective on such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cure period.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9.6</w:t>
      </w:r>
    </w:p>
    <w:p>
      <w:pPr>
        <w:spacing w:after="0" w:line="184" w:lineRule="exact"/>
        <w:rPr>
          <w:sz w:val="20"/>
          <w:szCs w:val="20"/>
          <w:color w:val="auto"/>
        </w:rPr>
      </w:pPr>
    </w:p>
    <w:p>
      <w:pPr>
        <w:ind w:left="1280" w:hanging="633"/>
        <w:spacing w:after="0"/>
        <w:tabs>
          <w:tab w:leader="none" w:pos="128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01"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8"/>
          <w:szCs w:val="18"/>
          <w:color w:val="auto"/>
        </w:rPr>
        <w:t>The number of Units awarded pursuant to this Award Agreement (both the Target Number of Units and Maximum Number of Units) is subject to adjustment as provided in Article 10 of the Plan. Upon the occurrence of an event described in Article 10 of the Plan, any and all new, substituted or additional securities or other property to which a holder of a Share issuable in settlement of the Award would be entitled shall be immediately subject to the Award Agreement and included within the meaning of the term “Shares” for all purposes of the Award. The Participant shall be notified of such adjustments and such adjustments shall be binding upon the Company and the Participant.</w:t>
      </w:r>
    </w:p>
    <w:p>
      <w:pPr>
        <w:spacing w:after="0" w:line="146" w:lineRule="exact"/>
        <w:rPr>
          <w:sz w:val="20"/>
          <w:szCs w:val="20"/>
          <w:color w:val="auto"/>
        </w:rPr>
      </w:pPr>
    </w:p>
    <w:p>
      <w:pPr>
        <w:ind w:left="1260" w:hanging="613"/>
        <w:spacing w:after="0"/>
        <w:tabs>
          <w:tab w:leader="none" w:pos="12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Entitlement or claims for compensation</w:t>
      </w:r>
      <w:r>
        <w:rPr>
          <w:rFonts w:ascii="Times New Roman" w:cs="Times New Roman" w:eastAsia="Times New Roman" w:hAnsi="Times New Roman"/>
          <w:sz w:val="20"/>
          <w:szCs w:val="20"/>
          <w:b w:val="1"/>
          <w:bCs w:val="1"/>
          <w:color w:val="auto"/>
        </w:rPr>
        <w:t>.</w:t>
      </w:r>
    </w:p>
    <w:p>
      <w:pPr>
        <w:spacing w:after="0" w:line="170" w:lineRule="exact"/>
        <w:rPr>
          <w:rFonts w:ascii="Times New Roman" w:cs="Times New Roman" w:eastAsia="Times New Roman" w:hAnsi="Times New Roman"/>
          <w:sz w:val="20"/>
          <w:szCs w:val="20"/>
          <w:b w:val="1"/>
          <w:bCs w:val="1"/>
          <w:color w:val="auto"/>
        </w:rPr>
      </w:pPr>
    </w:p>
    <w:p>
      <w:pPr>
        <w:ind w:left="12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11.1   Nature of the Grant. </w:t>
      </w:r>
      <w:r>
        <w:rPr>
          <w:rFonts w:ascii="Times New Roman" w:cs="Times New Roman" w:eastAsia="Times New Roman" w:hAnsi="Times New Roman"/>
          <w:sz w:val="20"/>
          <w:szCs w:val="20"/>
          <w:color w:val="auto"/>
        </w:rPr>
        <w:t>In accepting the Award, the Participant acknowledges, understands and agrees that:</w:t>
      </w:r>
    </w:p>
    <w:p>
      <w:pPr>
        <w:spacing w:after="0" w:line="200" w:lineRule="exact"/>
        <w:rPr>
          <w:rFonts w:ascii="Times New Roman" w:cs="Times New Roman" w:eastAsia="Times New Roman" w:hAnsi="Times New Roman"/>
          <w:sz w:val="20"/>
          <w:szCs w:val="20"/>
          <w:b w:val="1"/>
          <w:bCs w:val="1"/>
          <w:color w:val="auto"/>
        </w:rPr>
      </w:pPr>
    </w:p>
    <w:p>
      <w:pPr>
        <w:ind w:firstLine="1288"/>
        <w:spacing w:after="0" w:line="262" w:lineRule="auto"/>
        <w:tabs>
          <w:tab w:leader="none" w:pos="191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8" w:lineRule="exact"/>
        <w:rPr>
          <w:rFonts w:ascii="Times New Roman" w:cs="Times New Roman" w:eastAsia="Times New Roman" w:hAnsi="Times New Roman"/>
          <w:sz w:val="20"/>
          <w:szCs w:val="20"/>
          <w:color w:val="auto"/>
        </w:rPr>
      </w:pPr>
    </w:p>
    <w:p>
      <w:pPr>
        <w:ind w:firstLine="1288"/>
        <w:spacing w:after="0" w:line="275" w:lineRule="auto"/>
        <w:tabs>
          <w:tab w:leader="none" w:pos="190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53"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Units or other grants, if any, will be at the sole discretion of the Company;</w:t>
      </w:r>
    </w:p>
    <w:p>
      <w:pPr>
        <w:spacing w:after="0" w:line="223" w:lineRule="exact"/>
        <w:rPr>
          <w:rFonts w:ascii="Times New Roman" w:cs="Times New Roman" w:eastAsia="Times New Roman" w:hAnsi="Times New Roman"/>
          <w:sz w:val="20"/>
          <w:szCs w:val="20"/>
          <w:color w:val="auto"/>
        </w:rPr>
      </w:pPr>
    </w:p>
    <w:p>
      <w:pPr>
        <w:jc w:val="both"/>
        <w:ind w:firstLine="1288"/>
        <w:spacing w:after="0" w:line="254" w:lineRule="auto"/>
        <w:tabs>
          <w:tab w:leader="none" w:pos="190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grant and the Participant’s participation in the Plan shall not create a right to employment or be interpreted as forming an employment or services contract with the Company, the Employer or any Subsidiary or Affiliate and shall not interfere with the ability of the Company, the Employer or any Subsidiary or Affiliate, as applicable, to terminate the Participant’s employment or service relationship (if any);</w:t>
      </w:r>
    </w:p>
    <w:p>
      <w:pPr>
        <w:spacing w:after="0" w:line="173"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voluntarily participating in the Plan;</w:t>
      </w:r>
    </w:p>
    <w:p>
      <w:pPr>
        <w:spacing w:after="0" w:line="223"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and the Shares subject to the Units are not intended to replace any pension rights or compensation;</w:t>
      </w:r>
    </w:p>
    <w:p>
      <w:pPr>
        <w:spacing w:after="0" w:line="210" w:lineRule="exact"/>
        <w:rPr>
          <w:rFonts w:ascii="Times New Roman" w:cs="Times New Roman" w:eastAsia="Times New Roman" w:hAnsi="Times New Roman"/>
          <w:sz w:val="20"/>
          <w:szCs w:val="20"/>
          <w:color w:val="auto"/>
        </w:rPr>
      </w:pPr>
    </w:p>
    <w:p>
      <w:pPr>
        <w:jc w:val="both"/>
        <w:ind w:firstLine="1288"/>
        <w:spacing w:after="0" w:line="263" w:lineRule="auto"/>
        <w:tabs>
          <w:tab w:leader="none" w:pos="190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76" w:right="339" w:bottom="1440" w:gutter="0" w:footer="0" w:header="0"/>
        </w:sectPr>
      </w:pPr>
    </w:p>
    <w:bookmarkStart w:id="94" w:name="page95"/>
    <w:bookmarkEnd w:id="94"/>
    <w:p>
      <w:pPr>
        <w:ind w:left="1920" w:hanging="632"/>
        <w:spacing w:after="0"/>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23" w:lineRule="exact"/>
        <w:rPr>
          <w:rFonts w:ascii="Times New Roman" w:cs="Times New Roman" w:eastAsia="Times New Roman" w:hAnsi="Times New Roman"/>
          <w:sz w:val="20"/>
          <w:szCs w:val="20"/>
          <w:color w:val="auto"/>
        </w:rPr>
      </w:pPr>
    </w:p>
    <w:p>
      <w:pPr>
        <w:jc w:val="both"/>
        <w:ind w:firstLine="1288"/>
        <w:spacing w:after="0" w:line="279" w:lineRule="auto"/>
        <w:tabs>
          <w:tab w:leader="none" w:pos="191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Units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contract, if any), and in consideration of the grant of the Units to which the Participant is otherwise not entitled, the Participant irrevocably agrees never to institute any claim against the Company, any of its Subsidiaries or Affiliates or the Employer, waives his or her ability, if any, to bring any such claim, and releases the Company, its Subsidiaries and Affiliates and the Employer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w:t>
      </w:r>
    </w:p>
    <w:p>
      <w:pPr>
        <w:spacing w:after="0" w:line="156" w:lineRule="exact"/>
        <w:rPr>
          <w:rFonts w:ascii="Times New Roman" w:cs="Times New Roman" w:eastAsia="Times New Roman" w:hAnsi="Times New Roman"/>
          <w:sz w:val="18"/>
          <w:szCs w:val="18"/>
          <w:color w:val="auto"/>
        </w:rPr>
      </w:pPr>
    </w:p>
    <w:p>
      <w:pPr>
        <w:jc w:val="both"/>
        <w:ind w:firstLine="1288"/>
        <w:spacing w:after="0" w:line="254" w:lineRule="auto"/>
        <w:tabs>
          <w:tab w:leader="none" w:pos="191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determined by the Company in its discretion, the Units and the benefits evidenced by this Award Agreement do not create any entitlement to have the Units or any such benefits transferred to, or assumed by, another company nor be exchanged, cashed out or substituted for, in connection with any corporate transaction affecting the shares of the Company; and</w:t>
      </w:r>
    </w:p>
    <w:p>
      <w:pPr>
        <w:spacing w:after="0" w:line="187"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the Participant is providing services outside the United States:</w:t>
      </w:r>
    </w:p>
    <w:p>
      <w:pPr>
        <w:spacing w:after="0" w:line="210" w:lineRule="exact"/>
        <w:rPr>
          <w:rFonts w:ascii="Times New Roman" w:cs="Times New Roman" w:eastAsia="Times New Roman" w:hAnsi="Times New Roman"/>
          <w:sz w:val="20"/>
          <w:szCs w:val="20"/>
          <w:color w:val="auto"/>
        </w:rPr>
      </w:pPr>
    </w:p>
    <w:p>
      <w:pPr>
        <w:ind w:left="2560" w:hanging="312"/>
        <w:spacing w:after="0"/>
        <w:tabs>
          <w:tab w:leader="none" w:pos="25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the Shares subject to the Units are not part of normal or expected compensation or salary for any</w:t>
      </w:r>
    </w:p>
    <w:p>
      <w:pPr>
        <w:spacing w:after="0" w:line="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purpose; and</w:t>
      </w:r>
    </w:p>
    <w:p>
      <w:pPr>
        <w:spacing w:after="0" w:line="209" w:lineRule="exact"/>
        <w:rPr>
          <w:rFonts w:ascii="Times New Roman" w:cs="Times New Roman" w:eastAsia="Times New Roman" w:hAnsi="Times New Roman"/>
          <w:sz w:val="18"/>
          <w:szCs w:val="18"/>
          <w:color w:val="auto"/>
        </w:rPr>
      </w:pPr>
    </w:p>
    <w:p>
      <w:pPr>
        <w:jc w:val="both"/>
        <w:ind w:firstLine="2248"/>
        <w:spacing w:after="0" w:line="249" w:lineRule="auto"/>
        <w:tabs>
          <w:tab w:leader="none" w:pos="25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and agrees that neither the Company, the Employer nor any Subsidiary or Affiliate shall be liable for any foreign exchange rate fluctuation between the Participant’s local currency and the United States Dollar that may affect the value of the Units or of any amounts due to the Participant pursuant to the settlement of the Units or the subsequent sale of any Shares acquired upon settlement.</w:t>
      </w:r>
    </w:p>
    <w:p>
      <w:pPr>
        <w:spacing w:after="0" w:line="175"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b w:val="1"/>
          <w:bCs w:val="1"/>
          <w:color w:val="auto"/>
        </w:rPr>
        <w:t>.</w:t>
      </w:r>
    </w:p>
    <w:p>
      <w:pPr>
        <w:spacing w:after="0" w:line="201"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which may be issued in settlement of this Award until the date of the issuance of a certificate for such Shares or the deposit of such Shares in a brokerage account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10.</w:t>
      </w:r>
    </w:p>
    <w:p>
      <w:pPr>
        <w:spacing w:after="0" w:line="176" w:lineRule="exact"/>
        <w:rPr>
          <w:sz w:val="20"/>
          <w:szCs w:val="20"/>
          <w:color w:val="auto"/>
        </w:rPr>
      </w:pPr>
    </w:p>
    <w:p>
      <w:pPr>
        <w:ind w:left="1280" w:hanging="633"/>
        <w:spacing w:after="0"/>
        <w:tabs>
          <w:tab w:leader="none" w:pos="128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84" w:lineRule="exact"/>
        <w:rPr>
          <w:sz w:val="20"/>
          <w:szCs w:val="20"/>
          <w:color w:val="auto"/>
        </w:rPr>
      </w:pPr>
    </w:p>
    <w:p>
      <w:pPr>
        <w:ind w:firstLine="1281"/>
        <w:spacing w:after="0" w:line="215" w:lineRule="auto"/>
        <w:rPr>
          <w:sz w:val="20"/>
          <w:szCs w:val="20"/>
          <w:color w:val="auto"/>
        </w:rPr>
      </w:pPr>
      <w:r>
        <w:rPr>
          <w:rFonts w:ascii="Times New Roman" w:cs="Times New Roman" w:eastAsia="Times New Roman" w:hAnsi="Times New Roman"/>
          <w:sz w:val="20"/>
          <w:szCs w:val="20"/>
          <w:b w:val="1"/>
          <w:bCs w:val="1"/>
          <w:color w:val="auto"/>
        </w:rPr>
        <w:t xml:space="preserve">13.1 Amendment. </w:t>
      </w:r>
      <w:r>
        <w:rPr>
          <w:rFonts w:ascii="Times New Roman" w:cs="Times New Roman" w:eastAsia="Times New Roman" w:hAnsi="Times New Roman"/>
          <w:sz w:val="20"/>
          <w:szCs w:val="20"/>
          <w:color w:val="auto"/>
        </w:rPr>
        <w:t>The Committee may amend this Award Agreement at any time; provided, however, that no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may adversely affect the Participant’s rights under this Award Agreement without the consent of the Participant, except to the</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extent such amendment is desirable or necessary to comply with applicable law, including, but not limited to, Code Section 409A as further provided in the Plan. No amendment or addition to this Award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7" w:right="339" w:bottom="1440" w:gutter="0" w:footer="0" w:header="0"/>
        </w:sectPr>
      </w:pPr>
    </w:p>
    <w:bookmarkStart w:id="95" w:name="page96"/>
    <w:bookmarkEnd w:id="95"/>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13.2</w:t>
        <w:tab/>
        <w:t xml:space="preserve">Nontransferability of the Award. </w:t>
      </w:r>
      <w:r>
        <w:rPr>
          <w:rFonts w:ascii="Times New Roman" w:cs="Times New Roman" w:eastAsia="Times New Roman" w:hAnsi="Times New Roman"/>
          <w:sz w:val="20"/>
          <w:szCs w:val="20"/>
          <w:color w:val="auto"/>
        </w:rPr>
        <w:t>Prior to the issuance of Shares on the applicable Settlement Date, no right or</w:t>
      </w:r>
    </w:p>
    <w:p>
      <w:pPr>
        <w:spacing w:after="0" w:line="224" w:lineRule="auto"/>
        <w:rPr>
          <w:sz w:val="20"/>
          <w:szCs w:val="20"/>
          <w:color w:val="auto"/>
        </w:rPr>
      </w:pPr>
      <w:r>
        <w:rPr>
          <w:rFonts w:ascii="Times New Roman" w:cs="Times New Roman" w:eastAsia="Times New Roman" w:hAnsi="Times New Roman"/>
          <w:sz w:val="18"/>
          <w:szCs w:val="18"/>
          <w:color w:val="auto"/>
        </w:rPr>
        <w:t>interest of the Participant in the Award nor any Shares issuable on settlement of the Award shall be in any manner pledged, encumbered, or hypothecated to or in favor of any party other than the Company or a Subsidiary or Affiliate or shall become subject to any lien, obligation, or</w:t>
      </w:r>
    </w:p>
    <w:p>
      <w:pPr>
        <w:spacing w:after="0" w:line="209" w:lineRule="auto"/>
        <w:rPr>
          <w:sz w:val="20"/>
          <w:szCs w:val="20"/>
          <w:color w:val="auto"/>
        </w:rPr>
      </w:pPr>
      <w:r>
        <w:rPr>
          <w:rFonts w:ascii="Times New Roman" w:cs="Times New Roman" w:eastAsia="Times New Roman" w:hAnsi="Times New Roman"/>
          <w:sz w:val="20"/>
          <w:szCs w:val="20"/>
          <w:color w:val="auto"/>
        </w:rPr>
        <w:t>liability of such Participant to any other party other than the Company, or a Subsidiary or Affiliate. Except as otherwise provided by the</w:t>
      </w:r>
    </w:p>
    <w:p>
      <w:pPr>
        <w:spacing w:after="0" w:line="201" w:lineRule="auto"/>
        <w:rPr>
          <w:sz w:val="20"/>
          <w:szCs w:val="20"/>
          <w:color w:val="auto"/>
        </w:rPr>
      </w:pPr>
      <w:r>
        <w:rPr>
          <w:rFonts w:ascii="Times New Roman" w:cs="Times New Roman" w:eastAsia="Times New Roman" w:hAnsi="Times New Roman"/>
          <w:sz w:val="20"/>
          <w:szCs w:val="20"/>
          <w:color w:val="auto"/>
        </w:rPr>
        <w:t>Committee, no Award shall be assigned, transferred or otherwise disposed of other than by will or the laws of descent and distribution. All rights with respect to the Award shall be exercisable during the Participant’s lifetime only by the Participant or the Participant’s guardian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representative.</w:t>
      </w:r>
    </w:p>
    <w:p>
      <w:pPr>
        <w:spacing w:after="0" w:line="158" w:lineRule="exact"/>
        <w:rPr>
          <w:sz w:val="20"/>
          <w:szCs w:val="20"/>
          <w:color w:val="auto"/>
        </w:rPr>
      </w:pPr>
    </w:p>
    <w:p>
      <w:pPr>
        <w:ind w:firstLine="1281"/>
        <w:spacing w:after="0" w:line="215" w:lineRule="auto"/>
        <w:rPr>
          <w:sz w:val="20"/>
          <w:szCs w:val="20"/>
          <w:color w:val="auto"/>
        </w:rPr>
      </w:pPr>
      <w:r>
        <w:rPr>
          <w:rFonts w:ascii="Times New Roman" w:cs="Times New Roman" w:eastAsia="Times New Roman" w:hAnsi="Times New Roman"/>
          <w:sz w:val="20"/>
          <w:szCs w:val="20"/>
          <w:b w:val="1"/>
          <w:bCs w:val="1"/>
          <w:color w:val="auto"/>
        </w:rPr>
        <w:t xml:space="preserve">13.3 Further Instruments and Imposition of Other Requirements. </w:t>
      </w:r>
      <w:r>
        <w:rPr>
          <w:rFonts w:ascii="Times New Roman" w:cs="Times New Roman" w:eastAsia="Times New Roman" w:hAnsi="Times New Roman"/>
          <w:sz w:val="20"/>
          <w:szCs w:val="20"/>
          <w:color w:val="auto"/>
        </w:rPr>
        <w:t>The parties hereto agree to execute such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instruments and to take such further action as may reasonably be necessary to carry out the intent of this Award Agreement. The Company</w:t>
      </w:r>
    </w:p>
    <w:p>
      <w:pPr>
        <w:spacing w:after="0" w:line="209" w:lineRule="auto"/>
        <w:rPr>
          <w:sz w:val="20"/>
          <w:szCs w:val="20"/>
          <w:color w:val="auto"/>
        </w:rPr>
      </w:pPr>
      <w:r>
        <w:rPr>
          <w:rFonts w:ascii="Times New Roman" w:cs="Times New Roman" w:eastAsia="Times New Roman" w:hAnsi="Times New Roman"/>
          <w:sz w:val="20"/>
          <w:szCs w:val="20"/>
          <w:color w:val="auto"/>
        </w:rPr>
        <w:t>reserves the right to impose other requirements on Participant’s participation in the Plan, on the Units and on any Shares acquired under the</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Plan, to the extent the Company determines it is necessary or advisable in order to comply with local law or facilitate the administration of the Plan. Furthermore, the Participant acknowledges that the laws of the country in which the Participant is working at the time of grant, vesting</w:t>
      </w:r>
    </w:p>
    <w:p>
      <w:pPr>
        <w:spacing w:after="0" w:line="209" w:lineRule="auto"/>
        <w:rPr>
          <w:sz w:val="20"/>
          <w:szCs w:val="20"/>
          <w:color w:val="auto"/>
        </w:rPr>
      </w:pPr>
      <w:r>
        <w:rPr>
          <w:rFonts w:ascii="Times New Roman" w:cs="Times New Roman" w:eastAsia="Times New Roman" w:hAnsi="Times New Roman"/>
          <w:sz w:val="20"/>
          <w:szCs w:val="20"/>
          <w:color w:val="auto"/>
        </w:rPr>
        <w:t>and settlement of the Units or the sale of Shares received pursuant to this Award Agreement (including any rules or regulations governing</w:t>
      </w:r>
    </w:p>
    <w:p>
      <w:pPr>
        <w:ind w:right="20"/>
        <w:spacing w:after="0" w:line="218" w:lineRule="auto"/>
        <w:rPr>
          <w:sz w:val="20"/>
          <w:szCs w:val="20"/>
          <w:color w:val="auto"/>
        </w:rPr>
      </w:pPr>
      <w:r>
        <w:rPr>
          <w:rFonts w:ascii="Times New Roman" w:cs="Times New Roman" w:eastAsia="Times New Roman" w:hAnsi="Times New Roman"/>
          <w:sz w:val="20"/>
          <w:szCs w:val="20"/>
          <w:color w:val="auto"/>
        </w:rPr>
        <w:t>securities, foreign exchange, tax, labor, or other matters) may subject the Participant to additional procedural or regulatory requirements that the Participant is and will be solely responsible for and must fulfill.</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Award Agreement shall inure to the benefit of the successors and assigns of the Company and,</w:t>
      </w:r>
    </w:p>
    <w:p>
      <w:pPr>
        <w:spacing w:after="0" w:line="218" w:lineRule="auto"/>
        <w:rPr>
          <w:sz w:val="20"/>
          <w:szCs w:val="20"/>
          <w:color w:val="auto"/>
        </w:rPr>
      </w:pPr>
      <w:r>
        <w:rPr>
          <w:rFonts w:ascii="Times New Roman" w:cs="Times New Roman" w:eastAsia="Times New Roman" w:hAnsi="Times New Roman"/>
          <w:sz w:val="20"/>
          <w:szCs w:val="20"/>
          <w:color w:val="auto"/>
        </w:rPr>
        <w:t>subject to the restrictions on transfer set forth herein, be binding upon the Participant and the Participant’s heirs, executors, administrators, successors and assigns.</w:t>
      </w:r>
    </w:p>
    <w:p>
      <w:pPr>
        <w:spacing w:after="0" w:line="157" w:lineRule="exact"/>
        <w:rPr>
          <w:sz w:val="20"/>
          <w:szCs w:val="20"/>
          <w:color w:val="auto"/>
        </w:rPr>
      </w:pPr>
    </w:p>
    <w:p>
      <w:pPr>
        <w:ind w:firstLine="1281"/>
        <w:spacing w:after="0" w:line="215" w:lineRule="auto"/>
        <w:rPr>
          <w:sz w:val="20"/>
          <w:szCs w:val="20"/>
          <w:color w:val="auto"/>
        </w:rPr>
      </w:pPr>
      <w:r>
        <w:rPr>
          <w:rFonts w:ascii="Times New Roman" w:cs="Times New Roman" w:eastAsia="Times New Roman" w:hAnsi="Times New Roman"/>
          <w:sz w:val="20"/>
          <w:szCs w:val="20"/>
          <w:b w:val="1"/>
          <w:bCs w:val="1"/>
          <w:color w:val="auto"/>
        </w:rPr>
        <w:t xml:space="preserve">13.5 Notices. </w:t>
      </w:r>
      <w:r>
        <w:rPr>
          <w:rFonts w:ascii="Times New Roman" w:cs="Times New Roman" w:eastAsia="Times New Roman" w:hAnsi="Times New Roman"/>
          <w:sz w:val="20"/>
          <w:szCs w:val="20"/>
          <w:color w:val="auto"/>
        </w:rPr>
        <w:t>Any notice required to be given or delivered to the Company under the terms of this Award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in writing and addressed to the Company at its principal corporate offices. Any notice required to be given or delivered to the Participant</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shall be in writing and addressed to the Participant at the address maintained for the Participant in the Company’s records or at the address of the local office of the Company or of a Subsidiary or Affiliate at which the Participant works.</w:t>
      </w:r>
    </w:p>
    <w:p>
      <w:pPr>
        <w:spacing w:after="0" w:line="143" w:lineRule="exact"/>
        <w:rPr>
          <w:sz w:val="20"/>
          <w:szCs w:val="20"/>
          <w:color w:val="auto"/>
        </w:rPr>
      </w:pPr>
    </w:p>
    <w:p>
      <w:pPr>
        <w:ind w:firstLine="1281"/>
        <w:spacing w:after="0" w:line="222" w:lineRule="auto"/>
        <w:rPr>
          <w:sz w:val="20"/>
          <w:szCs w:val="20"/>
          <w:color w:val="auto"/>
        </w:rPr>
      </w:pPr>
      <w:r>
        <w:rPr>
          <w:rFonts w:ascii="Times New Roman" w:cs="Times New Roman" w:eastAsia="Times New Roman" w:hAnsi="Times New Roman"/>
          <w:sz w:val="20"/>
          <w:szCs w:val="20"/>
          <w:b w:val="1"/>
          <w:bCs w:val="1"/>
          <w:color w:val="auto"/>
        </w:rPr>
        <w:t xml:space="preserve">13.6 Construction of Award Agreement. </w:t>
      </w:r>
      <w:r>
        <w:rPr>
          <w:rFonts w:ascii="Times New Roman" w:cs="Times New Roman" w:eastAsia="Times New Roman" w:hAnsi="Times New Roman"/>
          <w:sz w:val="20"/>
          <w:szCs w:val="20"/>
          <w:color w:val="auto"/>
        </w:rPr>
        <w:t>The Grant Notice, this Award Agreement, and the Units evidenced hereby (i)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and granted pursuant to the Plan and are in all respects limited by and subject to the terms of the Plan, and (ii) constitute the entire</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agreement between the Participant and the Company on the subject matter hereof and supersede all proposals, written or oral, and all other communications between the parties related to the subject matter (other than as set forth in any applicable Executive Severance Agreement or</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CEO Severance Agreement). All decisions of the Committee with respect to any question or issue arising under the Grant Notice, this Award Agreement or the Plan shall be conclusive and binding on all persons having an interest in the Units.</w:t>
      </w:r>
    </w:p>
    <w:p>
      <w:pPr>
        <w:spacing w:after="0" w:line="143" w:lineRule="exact"/>
        <w:rPr>
          <w:sz w:val="20"/>
          <w:szCs w:val="20"/>
          <w:color w:val="auto"/>
        </w:rPr>
      </w:pPr>
    </w:p>
    <w:p>
      <w:pPr>
        <w:ind w:firstLine="128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13.7 Governing Law and Venue. </w:t>
      </w:r>
      <w:r>
        <w:rPr>
          <w:rFonts w:ascii="Times New Roman" w:cs="Times New Roman" w:eastAsia="Times New Roman" w:hAnsi="Times New Roman"/>
          <w:sz w:val="18"/>
          <w:szCs w:val="18"/>
          <w:color w:val="auto"/>
        </w:rPr>
        <w:t>The interpretation, performance and enforcement of this Award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laws of the State of Texas, U.S.A. without regard to the conflict-of-laws rules thereof or of any other jurisdiction. For purposes</w:t>
      </w:r>
    </w:p>
    <w:p>
      <w:pPr>
        <w:spacing w:after="0" w:line="224" w:lineRule="auto"/>
        <w:rPr>
          <w:sz w:val="20"/>
          <w:szCs w:val="20"/>
          <w:color w:val="auto"/>
        </w:rPr>
      </w:pPr>
      <w:r>
        <w:rPr>
          <w:rFonts w:ascii="Times New Roman" w:cs="Times New Roman" w:eastAsia="Times New Roman" w:hAnsi="Times New Roman"/>
          <w:sz w:val="18"/>
          <w:szCs w:val="18"/>
          <w:color w:val="auto"/>
        </w:rPr>
        <w:t>of litigating any dispute that arises under this grant or this Award Agreement, the parties hereby submit to and consent to the jurisdiction of the State of Texas, agree that such litigation shall be conducted in the courts of Travis County, Texas, or the federal courts for the United States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Western District of Texas, where this grant is made and/or to be performed.</w:t>
      </w:r>
    </w:p>
    <w:p>
      <w:pPr>
        <w:spacing w:after="0" w:line="15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13.8</w:t>
      </w:r>
      <w:r>
        <w:rPr>
          <w:sz w:val="20"/>
          <w:szCs w:val="20"/>
          <w:color w:val="auto"/>
        </w:rPr>
        <w:tab/>
      </w:r>
      <w:r>
        <w:rPr>
          <w:rFonts w:ascii="Times New Roman" w:cs="Times New Roman" w:eastAsia="Times New Roman" w:hAnsi="Times New Roman"/>
          <w:sz w:val="18"/>
          <w:szCs w:val="18"/>
          <w:b w:val="1"/>
          <w:bCs w:val="1"/>
          <w:color w:val="auto"/>
        </w:rPr>
        <w:t>Section 409A.</w:t>
      </w:r>
    </w:p>
    <w:p>
      <w:pPr>
        <w:spacing w:after="0" w:line="170" w:lineRule="exact"/>
        <w:rPr>
          <w:sz w:val="20"/>
          <w:szCs w:val="20"/>
          <w:color w:val="auto"/>
        </w:rPr>
      </w:pPr>
    </w:p>
    <w:p>
      <w:pPr>
        <w:jc w:val="both"/>
        <w:ind w:firstLine="1928"/>
        <w:spacing w:after="0" w:line="218" w:lineRule="auto"/>
        <w:tabs>
          <w:tab w:leader="none" w:pos="255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Code Section 409A. </w:t>
      </w:r>
      <w:r>
        <w:rPr>
          <w:rFonts w:ascii="Times New Roman" w:cs="Times New Roman" w:eastAsia="Times New Roman" w:hAnsi="Times New Roman"/>
          <w:sz w:val="20"/>
          <w:szCs w:val="20"/>
          <w:color w:val="auto"/>
        </w:rPr>
        <w:t>Notwithstanding any other provision of the Plan,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the Grant Notice, the Plan, this Award Agreement and the Grant Notice shall be interpreted in accordance with, and incorporate the terms and conditions required by, Code Section 409A (together with any Department of Treasury regulations and other interpretive guidance issued thereunder, including without limitation any such regulations or other guidance that may be issued after the date hereof). The vesting and settlement of Units awarded pursuant to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7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Agreement are intended to qualify for the “short-term deferral” exemption from Section 409A of the Code and the terms of this Award</w:t>
      </w:r>
    </w:p>
    <w:p>
      <w:pPr>
        <w:spacing w:after="0" w:line="224" w:lineRule="auto"/>
        <w:rPr>
          <w:sz w:val="20"/>
          <w:szCs w:val="20"/>
          <w:color w:val="auto"/>
        </w:rPr>
      </w:pPr>
      <w:r>
        <w:rPr>
          <w:rFonts w:ascii="Times New Roman" w:cs="Times New Roman" w:eastAsia="Times New Roman" w:hAnsi="Times New Roman"/>
          <w:sz w:val="18"/>
          <w:szCs w:val="18"/>
          <w:color w:val="auto"/>
        </w:rPr>
        <w:t>Agreement shall be interpreted in compliance with this intention. The Company reserves the right, to the extent the Company deems necessary or advisable in its sole discretion, to unilaterally amend or modify the Plan and/or this Award Agreement or the Grant Notice or adopt other</w:t>
      </w:r>
    </w:p>
    <w:p>
      <w:pPr>
        <w:spacing w:after="0" w:line="209" w:lineRule="auto"/>
        <w:rPr>
          <w:sz w:val="20"/>
          <w:szCs w:val="20"/>
          <w:color w:val="auto"/>
        </w:rPr>
      </w:pPr>
      <w:r>
        <w:rPr>
          <w:rFonts w:ascii="Times New Roman" w:cs="Times New Roman" w:eastAsia="Times New Roman" w:hAnsi="Times New Roman"/>
          <w:sz w:val="20"/>
          <w:szCs w:val="20"/>
          <w:color w:val="auto"/>
        </w:rPr>
        <w:t>policies and procedures (including amendments, policies and procedures with retroactive effect), or take any other actions, including</w:t>
      </w:r>
    </w:p>
    <w:p>
      <w:pPr>
        <w:spacing w:after="0" w:line="201" w:lineRule="auto"/>
        <w:rPr>
          <w:sz w:val="20"/>
          <w:szCs w:val="20"/>
          <w:color w:val="auto"/>
        </w:rPr>
      </w:pPr>
      <w:r>
        <w:rPr>
          <w:rFonts w:ascii="Times New Roman" w:cs="Times New Roman" w:eastAsia="Times New Roman" w:hAnsi="Times New Roman"/>
          <w:sz w:val="20"/>
          <w:szCs w:val="20"/>
          <w:color w:val="auto"/>
        </w:rPr>
        <w:t>amendments or actions that would result in a reduction in benefits payable under the Award, as the Committee determines are necessary or appropriate to ensure that the Units qualify for exemption from or comply with Code Section 409A or mitigate any additional tax, interest</w:t>
      </w:r>
    </w:p>
    <w:p>
      <w:pPr>
        <w:spacing w:after="0" w:line="210" w:lineRule="auto"/>
        <w:rPr>
          <w:sz w:val="20"/>
          <w:szCs w:val="20"/>
          <w:color w:val="auto"/>
        </w:rPr>
      </w:pPr>
      <w:r>
        <w:rPr>
          <w:rFonts w:ascii="Times New Roman" w:cs="Times New Roman" w:eastAsia="Times New Roman" w:hAnsi="Times New Roman"/>
          <w:sz w:val="20"/>
          <w:szCs w:val="20"/>
          <w:color w:val="auto"/>
        </w:rPr>
        <w:t xml:space="preserve">and/or penalties or other adverse tax consequences that may apply under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makes no representations that the Units will be exempt from Code Section 409A and makes no undertaking to preclude Code Section 409A from applying to the Units.</w:t>
      </w:r>
    </w:p>
    <w:p>
      <w:pPr>
        <w:spacing w:after="0" w:line="157" w:lineRule="exact"/>
        <w:rPr>
          <w:sz w:val="20"/>
          <w:szCs w:val="20"/>
          <w:color w:val="auto"/>
        </w:rPr>
      </w:pPr>
    </w:p>
    <w:p>
      <w:pPr>
        <w:jc w:val="both"/>
        <w:ind w:firstLine="1928"/>
        <w:spacing w:after="0" w:line="210" w:lineRule="auto"/>
        <w:tabs>
          <w:tab w:leader="none" w:pos="254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herein to the contrary, if the Participant is a U.S. taxpayer, no amount payable pursuant to this Agreement on account of the Participant’s termination of Service which constitutes a “deferral of compensation” within the meaning of Code Section 409A shall be paid unless and until the Participant has incurred a “separation from service” within the meaning of Code Section 409A. Furthermore, to the extent that the Participant is a “specified employee” within the meaning of Code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49" w:lineRule="exact"/>
        <w:rPr>
          <w:sz w:val="20"/>
          <w:szCs w:val="20"/>
          <w:color w:val="auto"/>
        </w:rPr>
      </w:pPr>
    </w:p>
    <w:p>
      <w:pPr>
        <w:ind w:firstLine="1281"/>
        <w:spacing w:after="0" w:line="222" w:lineRule="auto"/>
        <w:rPr>
          <w:sz w:val="20"/>
          <w:szCs w:val="20"/>
          <w:color w:val="auto"/>
        </w:rPr>
      </w:pPr>
      <w:r>
        <w:rPr>
          <w:rFonts w:ascii="Times New Roman" w:cs="Times New Roman" w:eastAsia="Times New Roman" w:hAnsi="Times New Roman"/>
          <w:sz w:val="20"/>
          <w:szCs w:val="20"/>
          <w:b w:val="1"/>
          <w:bCs w:val="1"/>
          <w:color w:val="auto"/>
        </w:rPr>
        <w:t xml:space="preserve">13.9 Administration. </w:t>
      </w:r>
      <w:r>
        <w:rPr>
          <w:rFonts w:ascii="Times New Roman" w:cs="Times New Roman" w:eastAsia="Times New Roman" w:hAnsi="Times New Roman"/>
          <w:sz w:val="20"/>
          <w:szCs w:val="20"/>
          <w:color w:val="auto"/>
        </w:rPr>
        <w:t>The Committee shall have the power to interpret the Plan and this Award Agreement and to adopt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rules for the administration, interpretation and application of the Plan as are consistent therewith and to interpret, amend or revoke any</w:t>
      </w:r>
    </w:p>
    <w:p>
      <w:pPr>
        <w:spacing w:after="0" w:line="1"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20"/>
          <w:szCs w:val="20"/>
          <w:color w:val="auto"/>
        </w:rPr>
        <w:t>such rules. All actions taken and all interpretations and determinations made by the Committee in good faith shall be final and binding upon the Participant, the Company and all other interested persons. No member of the Committee or the Board shall be personally liable for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action, determination or interpretation made in good faith with respect to the Plan, this Award Agreement or the Units.</w:t>
      </w:r>
    </w:p>
    <w:p>
      <w:pPr>
        <w:spacing w:after="0" w:line="158" w:lineRule="exact"/>
        <w:rPr>
          <w:sz w:val="20"/>
          <w:szCs w:val="20"/>
          <w:color w:val="auto"/>
        </w:rPr>
      </w:pPr>
    </w:p>
    <w:p>
      <w:pPr>
        <w:ind w:firstLine="1281"/>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13.10 Counterparts. </w:t>
      </w:r>
      <w:r>
        <w:rPr>
          <w:rFonts w:ascii="Times New Roman" w:cs="Times New Roman" w:eastAsia="Times New Roman" w:hAnsi="Times New Roman"/>
          <w:sz w:val="20"/>
          <w:szCs w:val="20"/>
          <w:color w:val="auto"/>
        </w:rPr>
        <w:t>The Grant Notice may be executed in counterparts, each of which shall be deemed an original, but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shall constitute one and the same instrument.</w:t>
      </w:r>
    </w:p>
    <w:p>
      <w:pPr>
        <w:spacing w:after="0" w:line="15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13.11</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Award Agreement is held to be unenforceable for any reason, it shall be adjusted</w:t>
      </w:r>
    </w:p>
    <w:p>
      <w:pPr>
        <w:spacing w:after="0" w:line="218" w:lineRule="auto"/>
        <w:rPr>
          <w:sz w:val="20"/>
          <w:szCs w:val="20"/>
          <w:color w:val="auto"/>
        </w:rPr>
      </w:pPr>
      <w:r>
        <w:rPr>
          <w:rFonts w:ascii="Times New Roman" w:cs="Times New Roman" w:eastAsia="Times New Roman" w:hAnsi="Times New Roman"/>
          <w:sz w:val="20"/>
          <w:szCs w:val="20"/>
          <w:color w:val="auto"/>
        </w:rPr>
        <w:t>rather than voided, if possible, in order to achieve the intent of the parties to the extent possible. In any event, all other provisions of this Award Agreement shall be deemed valid and enforceable to the full extent possible.</w:t>
      </w:r>
    </w:p>
    <w:p>
      <w:pPr>
        <w:spacing w:after="0" w:line="157" w:lineRule="exact"/>
        <w:rPr>
          <w:sz w:val="20"/>
          <w:szCs w:val="20"/>
          <w:color w:val="auto"/>
        </w:rPr>
      </w:pPr>
    </w:p>
    <w:p>
      <w:pPr>
        <w:ind w:right="20" w:firstLine="1281"/>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13.12 Language. </w:t>
      </w:r>
      <w:r>
        <w:rPr>
          <w:rFonts w:ascii="Times New Roman" w:cs="Times New Roman" w:eastAsia="Times New Roman" w:hAnsi="Times New Roman"/>
          <w:sz w:val="20"/>
          <w:szCs w:val="20"/>
          <w:color w:val="auto"/>
        </w:rPr>
        <w:t>If the Participant has received this Award Agreement or any other document related to the Plan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language other than English and the meaning of the translated version is different from the English version, the English version will control.</w:t>
      </w:r>
    </w:p>
    <w:p>
      <w:pPr>
        <w:spacing w:after="0" w:line="142" w:lineRule="exact"/>
        <w:rPr>
          <w:sz w:val="20"/>
          <w:szCs w:val="20"/>
          <w:color w:val="auto"/>
        </w:rPr>
      </w:pPr>
    </w:p>
    <w:p>
      <w:pPr>
        <w:ind w:firstLine="1281"/>
        <w:spacing w:after="0" w:line="222" w:lineRule="auto"/>
        <w:rPr>
          <w:sz w:val="20"/>
          <w:szCs w:val="20"/>
          <w:color w:val="auto"/>
        </w:rPr>
      </w:pPr>
      <w:r>
        <w:rPr>
          <w:rFonts w:ascii="Times New Roman" w:cs="Times New Roman" w:eastAsia="Times New Roman" w:hAnsi="Times New Roman"/>
          <w:sz w:val="20"/>
          <w:szCs w:val="20"/>
          <w:b w:val="1"/>
          <w:bCs w:val="1"/>
          <w:color w:val="auto"/>
        </w:rPr>
        <w:t xml:space="preserve">13.13 Electronic Delivery and Acceptance. </w:t>
      </w:r>
      <w:r>
        <w:rPr>
          <w:rFonts w:ascii="Times New Roman" w:cs="Times New Roman" w:eastAsia="Times New Roman" w:hAnsi="Times New Roman"/>
          <w:sz w:val="20"/>
          <w:szCs w:val="20"/>
          <w:color w:val="auto"/>
        </w:rPr>
        <w:t>The Company may, in its sole discretion, decide to deliver any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current or future participation in the Plan by electronic means. The Participant hereby consents to receive such documents by</w:t>
      </w:r>
    </w:p>
    <w:p>
      <w:pPr>
        <w:spacing w:after="0" w:line="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electronic delivery and agrees to participate in the Plan through an online or electronic system established and maintained by the Company or a third party designated by the Company.</w:t>
      </w:r>
    </w:p>
    <w:p>
      <w:pPr>
        <w:spacing w:after="0" w:line="15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13.14</w:t>
        <w:tab/>
        <w:t xml:space="preserve">Waiver. </w:t>
      </w:r>
      <w:r>
        <w:rPr>
          <w:rFonts w:ascii="Times New Roman" w:cs="Times New Roman" w:eastAsia="Times New Roman" w:hAnsi="Times New Roman"/>
          <w:sz w:val="20"/>
          <w:szCs w:val="20"/>
          <w:color w:val="auto"/>
        </w:rPr>
        <w:t>The Participant acknowledges that a waiver by the Company of breach of any provision of this Award</w:t>
      </w:r>
    </w:p>
    <w:p>
      <w:pPr>
        <w:ind w:right="20"/>
        <w:spacing w:after="0" w:line="218" w:lineRule="auto"/>
        <w:rPr>
          <w:sz w:val="20"/>
          <w:szCs w:val="20"/>
          <w:color w:val="auto"/>
        </w:rPr>
      </w:pPr>
      <w:r>
        <w:rPr>
          <w:rFonts w:ascii="Times New Roman" w:cs="Times New Roman" w:eastAsia="Times New Roman" w:hAnsi="Times New Roman"/>
          <w:sz w:val="20"/>
          <w:szCs w:val="20"/>
          <w:color w:val="auto"/>
        </w:rPr>
        <w:t>Agreement shall not operate or be construed as a waiver of any other provision of this Award Agreement, or of any subsequent breach by the Participant or any other award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76" w:right="339" w:bottom="1440" w:gutter="0" w:footer="0" w:header="0"/>
        </w:sectPr>
      </w:pPr>
    </w:p>
    <w:bookmarkStart w:id="97" w:name="page98"/>
    <w:bookmarkEnd w:id="97"/>
    <w:p>
      <w:pPr>
        <w:ind w:left="128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13.15</w:t>
        <w:tab/>
        <w:t xml:space="preserve">Addendum. </w:t>
      </w:r>
      <w:r>
        <w:rPr>
          <w:rFonts w:ascii="Times New Roman" w:cs="Times New Roman" w:eastAsia="Times New Roman" w:hAnsi="Times New Roman"/>
          <w:sz w:val="20"/>
          <w:szCs w:val="20"/>
          <w:color w:val="auto"/>
        </w:rPr>
        <w:t>Notwithstanding any provisions in this Award Agreement, the grant of Units shall be subject to any</w:t>
      </w:r>
    </w:p>
    <w:p>
      <w:pPr>
        <w:spacing w:after="0" w:line="224" w:lineRule="auto"/>
        <w:rPr>
          <w:sz w:val="20"/>
          <w:szCs w:val="20"/>
          <w:color w:val="auto"/>
        </w:rPr>
      </w:pPr>
      <w:r>
        <w:rPr>
          <w:rFonts w:ascii="Times New Roman" w:cs="Times New Roman" w:eastAsia="Times New Roman" w:hAnsi="Times New Roman"/>
          <w:sz w:val="18"/>
          <w:szCs w:val="18"/>
          <w:color w:val="auto"/>
        </w:rPr>
        <w:t>special terms and conditions set forth in any Addendum to this Award Agreement for the Participant’s country of residence. Moreover, if the Participant relocates to one of the countries included in the Addendum, the special terms and conditions for such country will apply to the</w:t>
      </w:r>
    </w:p>
    <w:p>
      <w:pPr>
        <w:spacing w:after="0" w:line="209" w:lineRule="auto"/>
        <w:rPr>
          <w:sz w:val="20"/>
          <w:szCs w:val="20"/>
          <w:color w:val="auto"/>
        </w:rPr>
      </w:pPr>
      <w:r>
        <w:rPr>
          <w:rFonts w:ascii="Times New Roman" w:cs="Times New Roman" w:eastAsia="Times New Roman" w:hAnsi="Times New Roman"/>
          <w:sz w:val="20"/>
          <w:szCs w:val="20"/>
          <w:color w:val="auto"/>
        </w:rPr>
        <w:t>Participant, to the extent the Company determines that the application of such terms and conditions is necessary or advisable for legal or</w:t>
      </w:r>
    </w:p>
    <w:p>
      <w:pPr>
        <w:spacing w:after="0" w:line="201" w:lineRule="auto"/>
        <w:rPr>
          <w:sz w:val="20"/>
          <w:szCs w:val="20"/>
          <w:color w:val="auto"/>
        </w:rPr>
      </w:pPr>
      <w:r>
        <w:rPr>
          <w:rFonts w:ascii="Times New Roman" w:cs="Times New Roman" w:eastAsia="Times New Roman" w:hAnsi="Times New Roman"/>
          <w:sz w:val="20"/>
          <w:szCs w:val="20"/>
          <w:color w:val="auto"/>
        </w:rPr>
        <w:t>administrative reasons and, in such event, the Company reserves the right to require the Participant to sign any additional agreements or undertakings that may be necessary to accomplish the foregoing. The Addendum is hereby incorporated by reference as part of this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58" w:lineRule="exact"/>
        <w:rPr>
          <w:sz w:val="20"/>
          <w:szCs w:val="20"/>
          <w:color w:val="auto"/>
        </w:rPr>
      </w:pPr>
    </w:p>
    <w:p>
      <w:pPr>
        <w:ind w:firstLine="128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13.16 Clawback/Recovery. </w:t>
      </w:r>
      <w:r>
        <w:rPr>
          <w:rFonts w:ascii="Times New Roman" w:cs="Times New Roman" w:eastAsia="Times New Roman" w:hAnsi="Times New Roman"/>
          <w:sz w:val="18"/>
          <w:szCs w:val="18"/>
          <w:color w:val="auto"/>
        </w:rPr>
        <w:t>The Units and any Shares, cash or other property issued in settlement of the Units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recoupment in accordance with any clawback policy that the Company is required to adopt pursuant to the listing standards of any</w:t>
      </w:r>
    </w:p>
    <w:p>
      <w:pPr>
        <w:spacing w:after="0" w:line="209" w:lineRule="auto"/>
        <w:rPr>
          <w:sz w:val="20"/>
          <w:szCs w:val="20"/>
          <w:color w:val="auto"/>
        </w:rPr>
      </w:pPr>
      <w:r>
        <w:rPr>
          <w:rFonts w:ascii="Times New Roman" w:cs="Times New Roman" w:eastAsia="Times New Roman" w:hAnsi="Times New Roman"/>
          <w:sz w:val="20"/>
          <w:szCs w:val="20"/>
          <w:color w:val="auto"/>
        </w:rPr>
        <w:t>national securities exchange or association on which the Company’s securities are listed or as is otherwise required by the Dodd-Frank Wall</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Street Reform and Consumer Protection Act or other applicable law. In addition, the Committee may impose such other clawback, recovery or recoupment provisions on an Award as the Committee determines necessary or appropriate, including, but not limited to, a reacquisition right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respect of previously acquired Shares or other cash or property upon the occurrence of cause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76" w:right="339" w:bottom="1440" w:gutter="0" w:footer="0" w:header="0"/>
        </w:sectPr>
      </w:pPr>
    </w:p>
    <w:bookmarkStart w:id="98" w:name="page99"/>
    <w:bookmarkEnd w:id="98"/>
    <w:p>
      <w:pPr>
        <w:ind w:left="4180"/>
        <w:spacing w:after="0"/>
        <w:rPr>
          <w:sz w:val="20"/>
          <w:szCs w:val="20"/>
          <w:color w:val="auto"/>
        </w:rPr>
      </w:pPr>
      <w:r>
        <w:rPr>
          <w:rFonts w:ascii="Times New Roman" w:cs="Times New Roman" w:eastAsia="Times New Roman" w:hAnsi="Times New Roman"/>
          <w:sz w:val="20"/>
          <w:szCs w:val="20"/>
          <w:b w:val="1"/>
          <w:bCs w:val="1"/>
          <w:color w:val="auto"/>
        </w:rPr>
        <w:t>SILICON LABORATORIES INC.</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2009 STOCK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ADDENDUM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PSU AWARD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Addendum includes additional terms and conditions that govern the award of Performance Stock Units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to the Participant by Silicon Laboratories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under the Silicon Laboratories Inc. 2009 Stock Incentive Plan, as amended and restated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if the Participant resides in one of the countries listed below. Capitalized terms not explicitly defined in this Addendum but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Plan or the Global PSU Award Agreement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shall have the same definitions as in the Plan, the Grant Notice and/or the Award Agreement,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This Addendum also includes information regarding exchange control and other issues of which the Participant should be aware with respect to the Participant’s participation in the Plan. The information is based on the exchange control, securities and other laws in effect in the respective countries as of January 2016. Such laws are often complex and change frequently. As a result, the Company strongly recommends that the Participant not rely on the information herein as the only source of information relating to the consequences of participation in the Plan because the information may be out of date at the time that the Units vest or the shares of the common stock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are sold.</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is advised to seek appropriate professional advice as to how the relevant laws in the Participant’s country may apply to the Participant’s situation.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Finally, the Participant understands that if he or she is a citizen or resident of a country other than the one in which the Participant is currently working, transfers employment after the Grant Date,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Participant must repatriate any funds recognized in connection with the Units to India within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prescribed time periods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proceeds from the sale of Shares must be repatriated within 90 days of receipt or within such other period of time as may be required under applicable regulations). Participant should obtain a foreign inward remittance certificate (“FIRC”) from the bank where Participant deposits the foreign currency and maintain the FIRC as evidence of the repatriation of funds in the event the Reserve Bank of India, the Company, or the Employer requests proof of repatriation.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4" w:right="339" w:bottom="1440" w:gutter="0" w:footer="0" w:header="0"/>
        </w:sectPr>
      </w:pPr>
    </w:p>
    <w:bookmarkStart w:id="99" w:name="page100"/>
    <w:bookmarkEnd w:id="99"/>
    <w:p>
      <w:pPr>
        <w:jc w:val="both"/>
        <w:spacing w:after="0" w:line="280"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Indian residents are required to declare any foreign bank accounts and any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(including Shares held outside India) in their annual tax return.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The following provision supplements Paragraph 7 of the Award Agreement:</w:t>
      </w:r>
    </w:p>
    <w:p>
      <w:pPr>
        <w:spacing w:after="0" w:line="2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The Participant agrees that under the provisions of the (Indian) Income Tax Act, 1961, the Employer and/or the Company would be required to withhold Tax-Related Items on the value of the benefit earned by the Participant as a result of the Participant’s participation in the Plan. Such benefit shall be computed according to the provisions of the (Indian) Income Tax Act, 1961, read with the (Indian) Income Tax Rules, 1962.</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Participant agrees that the Employer and/or the Company may calculate the Tax-Related Items to be withheld and accounted for by reference to the maximum applicable rates, without prejudice to any right that the Participant may have to recover any overpayment from the relevant tax authorities. The Participant agrees that the Employer and/or the Company may withhold the Tax-Related Items from the Participant’s wages or other cash compensation paid to the Participant by the Company and/or the Employer. The Participant agrees to pay to the Company or the Employer the Tax-Related Items that the Company or the Employer may be required to withhold or account, if such Tax-Related Items cannot be satisfied by the means previously described.</w:t>
      </w:r>
    </w:p>
    <w:p>
      <w:pPr>
        <w:spacing w:after="0" w:line="204"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Company or the Employer, the ultimate liability for all Tax-Related Items is and remains the responsibility of the Participant and may exceed the amount actually withheld by the Company or the Employer.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UNITED STATES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Death of the Participant. </w:t>
      </w:r>
      <w:r>
        <w:rPr>
          <w:rFonts w:ascii="Times New Roman" w:cs="Times New Roman" w:eastAsia="Times New Roman" w:hAnsi="Times New Roman"/>
          <w:sz w:val="20"/>
          <w:szCs w:val="20"/>
          <w:color w:val="auto"/>
        </w:rPr>
        <w:t>Notwithstanding Sections 5.1 and 5.2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of the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 ceases Service prior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Date by reason of his or her death prior to the Vesting Date, the Participant shall not forfeit the Award. In such case, the number of Earned Units shall be determined as of the end of the Performance Period in accordance with Section 3, and all such Earned Units shall be deemed Vested Units upon the Committee’s certification in accordance with Section 3.1 and settled in accordance with Section 6 as if the Participant’s Service had continued through the Vesting Date. The Shares due in settlement of such Vested Units shall be issued to the personal representative of the Participant’s estate, the person or persons to whom the Award is transferred pursuant to the Participant’s will or in accordance with the laws of descent and distribution (collectively referred to herein as the “</w:t>
      </w:r>
      <w:r>
        <w:rPr>
          <w:rFonts w:ascii="Times New Roman" w:cs="Times New Roman" w:eastAsia="Times New Roman" w:hAnsi="Times New Roman"/>
          <w:sz w:val="20"/>
          <w:szCs w:val="20"/>
          <w:b w:val="1"/>
          <w:bCs w:val="1"/>
          <w:i w:val="1"/>
          <w:iCs w:val="1"/>
          <w:color w:val="auto"/>
        </w:rPr>
        <w:t>Participant’s Heirs</w:t>
      </w:r>
      <w:r>
        <w:rPr>
          <w:rFonts w:ascii="Times New Roman" w:cs="Times New Roman" w:eastAsia="Times New Roman" w:hAnsi="Times New Roman"/>
          <w:sz w:val="20"/>
          <w:szCs w:val="20"/>
          <w:color w:val="auto"/>
        </w:rPr>
        <w:t>”). If the Participant dies prior to the end of an Adjusted Performance Period (as described in Section 9.1), which becomes applicable as a result of a Change in Control occurring before the end of the Performance Period as set forth in the Grant Notice, then the number of Earned Units will be determined as of the end of the Adjusted Performance Period in accordance with Section 9.1(a), and all such Earned Units shall be deemed Vested Units upon the Committee’s certification in accordance with Section 3.1 and settled in accordance with Section 6 immediately prior to the consummation of the Change in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Issuance of Shares of Common Stock</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sentence replaces the first sentence in Section 6.1 of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3" w:right="339" w:bottom="1440" w:gutter="0" w:footer="0" w:header="0"/>
        </w:sectPr>
      </w:pPr>
    </w:p>
    <w:bookmarkStart w:id="100" w:name="page101"/>
    <w:bookmarkEnd w:id="100"/>
    <w:p>
      <w:pPr>
        <w:spacing w:after="0" w:line="275" w:lineRule="auto"/>
        <w:rPr>
          <w:sz w:val="20"/>
          <w:szCs w:val="20"/>
          <w:color w:val="auto"/>
        </w:rPr>
      </w:pPr>
      <w:r>
        <w:rPr>
          <w:rFonts w:ascii="Times New Roman" w:cs="Times New Roman" w:eastAsia="Times New Roman" w:hAnsi="Times New Roman"/>
          <w:sz w:val="20"/>
          <w:szCs w:val="20"/>
          <w:color w:val="auto"/>
        </w:rPr>
        <w:t>Subject to the provisions of Section 6.3 and Section 7 below, the Company shall issue to the Participant (or, if applicable, the Participant’s Heirs), on the Settlement Date with respect to each Vested Unit to be settled on such date one (1) Share.</w:t>
      </w:r>
    </w:p>
    <w:p>
      <w:pPr>
        <w:spacing w:after="0" w:line="14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sentence replaces the last sentence in Section 6.2 of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Except as provided by the preceding sentence, a certificate for the Shares as to which the Award is settled shall be registered in the name of the Participant, or, if applicable, in the names of the Participant’s Heirs.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9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400" w:type="dxa"/>
            <w:vAlign w:val="bottom"/>
          </w:tcPr>
          <w:p>
            <w:pPr>
              <w:ind w:left="4260"/>
              <w:spacing w:after="0"/>
              <w:rPr>
                <w:sz w:val="20"/>
                <w:szCs w:val="20"/>
                <w:color w:val="auto"/>
              </w:rPr>
            </w:pPr>
            <w:r>
              <w:rPr>
                <w:rFonts w:ascii="Times New Roman" w:cs="Times New Roman" w:eastAsia="Times New Roman" w:hAnsi="Times New Roman"/>
                <w:sz w:val="21"/>
                <w:szCs w:val="21"/>
                <w:b w:val="1"/>
                <w:bCs w:val="1"/>
                <w:color w:val="auto"/>
              </w:rPr>
              <w:t>Subsidiaries of the Registrant</w:t>
            </w:r>
          </w:p>
        </w:tc>
        <w:tc>
          <w:tcPr>
            <w:tcW w:w="2820" w:type="dxa"/>
            <w:vAlign w:val="bottom"/>
          </w:tcPr>
          <w:p>
            <w:pPr>
              <w:spacing w:after="0"/>
              <w:rPr>
                <w:sz w:val="24"/>
                <w:szCs w:val="24"/>
                <w:color w:val="auto"/>
              </w:rPr>
            </w:pPr>
          </w:p>
        </w:tc>
      </w:tr>
      <w:tr>
        <w:trPr>
          <w:trHeight w:val="492"/>
        </w:trPr>
        <w:tc>
          <w:tcPr>
            <w:tcW w:w="8400" w:type="dxa"/>
            <w:vAlign w:val="bottom"/>
          </w:tcPr>
          <w:p>
            <w:pPr>
              <w:spacing w:after="0"/>
              <w:rPr>
                <w:sz w:val="24"/>
                <w:szCs w:val="24"/>
                <w:color w:val="auto"/>
              </w:rPr>
            </w:pPr>
          </w:p>
        </w:tc>
        <w:tc>
          <w:tcPr>
            <w:tcW w:w="2820" w:type="dxa"/>
            <w:vAlign w:val="bottom"/>
          </w:tcPr>
          <w:p>
            <w:pPr>
              <w:ind w:left="940"/>
              <w:spacing w:after="0"/>
              <w:rPr>
                <w:sz w:val="20"/>
                <w:szCs w:val="20"/>
                <w:color w:val="auto"/>
              </w:rPr>
            </w:pPr>
            <w:r>
              <w:rPr>
                <w:rFonts w:ascii="Times New Roman" w:cs="Times New Roman" w:eastAsia="Times New Roman" w:hAnsi="Times New Roman"/>
                <w:sz w:val="21"/>
                <w:szCs w:val="21"/>
                <w:b w:val="1"/>
                <w:bCs w:val="1"/>
                <w:color w:val="auto"/>
              </w:rPr>
              <w:t>Organized</w:t>
            </w:r>
          </w:p>
        </w:tc>
      </w:tr>
      <w:tr>
        <w:trPr>
          <w:trHeight w:val="292"/>
        </w:trPr>
        <w:tc>
          <w:tcPr>
            <w:tcW w:w="8400" w:type="dxa"/>
            <w:vAlign w:val="bottom"/>
          </w:tcPr>
          <w:p>
            <w:pPr>
              <w:spacing w:after="0"/>
              <w:rPr>
                <w:sz w:val="24"/>
                <w:szCs w:val="24"/>
                <w:color w:val="auto"/>
              </w:rPr>
            </w:pPr>
          </w:p>
        </w:tc>
        <w:tc>
          <w:tcPr>
            <w:tcW w:w="2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1"/>
                <w:szCs w:val="21"/>
                <w:b w:val="1"/>
                <w:bCs w:val="1"/>
                <w:color w:val="auto"/>
              </w:rPr>
              <w:t>Under Law Of</w:t>
            </w:r>
          </w:p>
        </w:tc>
      </w:tr>
      <w:tr>
        <w:trPr>
          <w:trHeight w:val="278"/>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Canada ULC</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Canada</w:t>
            </w:r>
          </w:p>
        </w:tc>
      </w:tr>
      <w:tr>
        <w:trPr>
          <w:trHeight w:val="293"/>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Shenzhen Silicon Laboratories Technology Co. Ltd.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China</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Denmark Aps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Denmark</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Finland Oy</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Finland</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France SAS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France</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GmbH</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Germany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Asia Pacific,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Hong Kong</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Hungary Korlátolt Felelősségű Társaság</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Hungary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Silabs India Private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India</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Italy, S.r.l.</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Italy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Y.K.</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Japan</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Norway AS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Norway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International Pte. Ltd.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Singapore</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UK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United Kingdom</w:t>
            </w:r>
          </w:p>
        </w:tc>
      </w:tr>
    </w:tbl>
    <w:p>
      <w:pPr>
        <w:sectPr>
          <w:pgSz w:w="11900" w:h="16838" w:orient="portrait"/>
          <w:cols w:equalWidth="0" w:num="1">
            <w:col w:w="11220"/>
          </w:cols>
          <w:pgMar w:left="340" w:top="35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333-195558 and 333-255785 on Form S-8 of our reports dated February 10, 2026</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relating to the financial statements of Silicon Laboratories Inc. and the effectiveness of Silicon Laboratories Inc.'s internal control over financial reporting appearing in this Annual Report on Form 10-K for the year ended January 3,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ectPr>
          <w:pgSz w:w="11900" w:h="16838" w:orient="portrait"/>
          <w:cols w:equalWidth="0" w:num="1">
            <w:col w:w="11240"/>
          </w:cols>
          <w:pgMar w:left="320" w:top="35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333-195558 and 333-255785) of Silicon Laboratories Inc. of our report dated February 4, 2025, with respect to the consolidated financial statements of Silicon Laboratories Inc. as of and for the two-year period ended December 28, 2024 included in this Annual Report (Form 10-K) for the fiscal year ended January 3, 2026.</w:t>
      </w:r>
    </w:p>
    <w:p>
      <w:pPr>
        <w:spacing w:after="0" w:line="203"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ectPr>
          <w:pgSz w:w="11900" w:h="16838" w:orient="portrait"/>
          <w:cols w:equalWidth="0" w:num="1">
            <w:col w:w="11240"/>
          </w:cols>
          <w:pgMar w:left="320" w:top="35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Matthew Johnson, certify that:</w:t>
      </w:r>
    </w:p>
    <w:p>
      <w:pPr>
        <w:spacing w:after="0" w:line="180" w:lineRule="exact"/>
        <w:rPr>
          <w:sz w:val="20"/>
          <w:szCs w:val="20"/>
          <w:color w:val="auto"/>
        </w:rPr>
      </w:pPr>
    </w:p>
    <w:p>
      <w:pPr>
        <w:ind w:left="640" w:hanging="313"/>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Silicon Laboratories Inc.;</w:t>
      </w:r>
    </w:p>
    <w:p>
      <w:pPr>
        <w:spacing w:after="0" w:line="17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80" w:right="60" w:hanging="313"/>
        <w:spacing w:after="0" w:line="262" w:lineRule="auto"/>
        <w:tabs>
          <w:tab w:leader="none" w:pos="12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280" w:right="180" w:hanging="313"/>
        <w:spacing w:after="0" w:line="262" w:lineRule="auto"/>
        <w:tabs>
          <w:tab w:leader="none" w:pos="12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80" w:right="340" w:hanging="313"/>
        <w:spacing w:after="0" w:line="307" w:lineRule="auto"/>
        <w:tabs>
          <w:tab w:leader="none" w:pos="127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left="1280" w:right="40" w:hanging="313"/>
        <w:spacing w:after="0" w:line="262" w:lineRule="auto"/>
        <w:tabs>
          <w:tab w:leader="none" w:pos="12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280" w:right="580" w:hanging="313"/>
        <w:spacing w:after="0" w:line="307" w:lineRule="auto"/>
        <w:tabs>
          <w:tab w:leader="none" w:pos="127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8"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80" w:lineRule="exact"/>
        <w:rPr>
          <w:sz w:val="20"/>
          <w:szCs w:val="20"/>
          <w:color w:val="auto"/>
        </w:rPr>
      </w:pPr>
    </w:p>
    <w:p>
      <w:pPr>
        <w:ind w:left="640" w:hanging="313"/>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Silicon Laboratories Inc.;</w:t>
      </w:r>
    </w:p>
    <w:p>
      <w:pPr>
        <w:spacing w:after="0" w:line="17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80" w:right="60" w:hanging="313"/>
        <w:spacing w:after="0" w:line="262" w:lineRule="auto"/>
        <w:tabs>
          <w:tab w:leader="none" w:pos="12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280" w:right="180" w:hanging="313"/>
        <w:spacing w:after="0" w:line="262" w:lineRule="auto"/>
        <w:tabs>
          <w:tab w:leader="none" w:pos="12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80" w:right="340" w:hanging="313"/>
        <w:spacing w:after="0" w:line="307" w:lineRule="auto"/>
        <w:tabs>
          <w:tab w:leader="none" w:pos="127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left="1280" w:right="40" w:hanging="313"/>
        <w:spacing w:after="0" w:line="262" w:lineRule="auto"/>
        <w:tabs>
          <w:tab w:leader="none" w:pos="12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280" w:right="580" w:hanging="313"/>
        <w:spacing w:after="0" w:line="307" w:lineRule="auto"/>
        <w:tabs>
          <w:tab w:leader="none" w:pos="127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125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3812540"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each of the undersigned officers of Silicon Laboratories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certify that:</w:t>
      </w:r>
    </w:p>
    <w:p>
      <w:pPr>
        <w:spacing w:after="0" w:line="161" w:lineRule="exact"/>
        <w:rPr>
          <w:sz w:val="20"/>
          <w:szCs w:val="20"/>
          <w:color w:val="auto"/>
        </w:rPr>
      </w:pPr>
    </w:p>
    <w:p>
      <w:pPr>
        <w:jc w:val="both"/>
        <w:ind w:left="640" w:right="40" w:hanging="313"/>
        <w:spacing w:after="0" w:line="262" w:lineRule="auto"/>
        <w:tabs>
          <w:tab w:leader="none" w:pos="6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January 3, 2026 as filed with the Securities and Exchange Commission (the “Report”) fully complies with the requirements of Section 13(a) or Section 15(d), as applicable, of the Securities Exchange Act of 1934; and</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right="140" w:firstLine="126"/>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endash "/>
      <w:numFmt w:val="bullet"/>
      <w:start w:val="1"/>
    </w:lvl>
  </w:abstractNum>
  <w:abstractNum w:abstractNumId="4">
    <w:nsid w:val="5072367"/>
    <w:multiLevelType w:val="hybridMultilevel"/>
    <w:lvl w:ilvl="0">
      <w:lvlJc w:val="left"/>
      <w:lvlText w:val="\endash "/>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3"/>
    </w:lvl>
  </w:abstractNum>
  <w:abstractNum w:abstractNumId="29">
    <w:nsid w:val="32FFF902"/>
    <w:multiLevelType w:val="hybridMultilevel"/>
    <w:lvl w:ilvl="0">
      <w:lvlJc w:val="left"/>
      <w:lvlText w:val="(%1)"/>
      <w:numFmt w:val="lowerLetter"/>
      <w:start w:val="2"/>
    </w:lvl>
  </w:abstractNum>
  <w:abstractNum w:abstractNumId="30">
    <w:nsid w:val="684A481A"/>
    <w:multiLevelType w:val="hybridMultilevel"/>
    <w:lvl w:ilvl="0">
      <w:lvlJc w:val="left"/>
      <w:lvlText w:val="%1"/>
      <w:numFmt w:val="decimal"/>
      <w:start w:val="21"/>
    </w:lvl>
  </w:abstractNum>
  <w:abstractNum w:abstractNumId="31">
    <w:nsid w:val="579478FE"/>
    <w:multiLevelType w:val="hybridMultilevel"/>
    <w:lvl w:ilvl="0">
      <w:lvlJc w:val="left"/>
      <w:lvlText w:val="%1"/>
      <w:numFmt w:val="decimal"/>
      <w:start w:val="24"/>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0"/>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lowerRoman"/>
      <w:start w:val="4"/>
    </w:lvl>
  </w:abstractNum>
  <w:abstractNum w:abstractNumId="41">
    <w:nsid w:val="4F4EF005"/>
    <w:multiLevelType w:val="hybridMultilevel"/>
    <w:lvl w:ilvl="0">
      <w:lvlJc w:val="left"/>
      <w:lvlText w:val="(%1)"/>
      <w:numFmt w:val="lowerRoman"/>
      <w:start w:val="7"/>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decimal"/>
      <w:start w:val="3"/>
    </w:lvl>
  </w:abstractNum>
  <w:abstractNum w:abstractNumId="47">
    <w:nsid w:val="180115BE"/>
    <w:multiLevelType w:val="hybridMultilevel"/>
    <w:lvl w:ilvl="0">
      <w:lvlJc w:val="left"/>
      <w:lvlText w:val="%1."/>
      <w:numFmt w:val="decimal"/>
      <w:start w:val="4"/>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decimal"/>
      <w:start w:val="18"/>
    </w:lvl>
    <w:lvl w:ilvl="1">
      <w:lvlJc w:val="left"/>
      <w:lvlText w:val="%2."/>
      <w:numFmt w:val="decimal"/>
      <w:start w:val="5"/>
    </w:lvl>
  </w:abstractNum>
  <w:abstractNum w:abstractNumId="50">
    <w:nsid w:val="354FE9F9"/>
    <w:multiLevelType w:val="hybridMultilevel"/>
    <w:lvl w:ilvl="0">
      <w:lvlJc w:val="left"/>
      <w:lvlText w:val="%1."/>
      <w:numFmt w:val="decimal"/>
      <w:start w:val="6"/>
    </w:lvl>
  </w:abstractNum>
  <w:abstractNum w:abstractNumId="51">
    <w:nsid w:val="15B5AF5C"/>
    <w:multiLevelType w:val="hybridMultilevel"/>
    <w:lvl w:ilvl="0">
      <w:lvlJc w:val="left"/>
      <w:lvlText w:val="%1."/>
      <w:numFmt w:val="decimal"/>
      <w:start w:val="7"/>
    </w:lvl>
  </w:abstractNum>
  <w:abstractNum w:abstractNumId="52">
    <w:nsid w:val="741226BB"/>
    <w:multiLevelType w:val="hybridMultilevel"/>
    <w:lvl w:ilvl="0">
      <w:lvlJc w:val="left"/>
      <w:lvlText w:val="%1."/>
      <w:numFmt w:val="decimal"/>
      <w:start w:val="8"/>
    </w:lvl>
  </w:abstractNum>
  <w:abstractNum w:abstractNumId="53">
    <w:nsid w:val="D34B6A8"/>
    <w:multiLevelType w:val="hybridMultilevel"/>
    <w:lvl w:ilvl="0">
      <w:lvlJc w:val="left"/>
      <w:lvlText w:val="%1."/>
      <w:numFmt w:val="decimal"/>
      <w:start w:val="9"/>
    </w:lvl>
  </w:abstractNum>
  <w:abstractNum w:abstractNumId="54">
    <w:nsid w:val="10233C99"/>
    <w:multiLevelType w:val="hybridMultilevel"/>
    <w:lvl w:ilvl="0">
      <w:lvlJc w:val="left"/>
      <w:lvlText w:val="(%1)"/>
      <w:numFmt w:val="lowerLetter"/>
      <w:start w:val="2"/>
    </w:lvl>
  </w:abstractNum>
  <w:abstractNum w:abstractNumId="55">
    <w:nsid w:val="3F6AB60F"/>
    <w:multiLevelType w:val="hybridMultilevel"/>
    <w:lvl w:ilvl="0">
      <w:lvlJc w:val="left"/>
      <w:lvlText w:val="(%1)"/>
      <w:numFmt w:val="lowerLetter"/>
      <w:start w:val="3"/>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decimal"/>
      <w:start w:val="10"/>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0">
    <w:nsid w:val="310C50B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1">
    <w:nsid w:val="5FF87E05"/>
    <w:multiLevelType w:val="hybridMultilevel"/>
    <w:lvl w:ilvl="0">
      <w:lvlJc w:val="left"/>
      <w:lvlText w:val="%1."/>
      <w:numFmt w:val="decimal"/>
      <w:start w:val="13"/>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Letter"/>
      <w:start w:val="2"/>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60" Type="http://schemas.openxmlformats.org/officeDocument/2006/relationships/hyperlink" Target="https://www.sec.gov/Archives/edgar/data/1038074/000103807425000014/fifthamendedandrestatedcer.htm" TargetMode="External"/><Relationship Id="rId61" Type="http://schemas.openxmlformats.org/officeDocument/2006/relationships/hyperlink" Target="https://www.sec.gov/Archives/edgar/data/1038074/000110465921011526/tm214455d2_ex3-1.htm" TargetMode="External"/><Relationship Id="rId62" Type="http://schemas.openxmlformats.org/officeDocument/2006/relationships/hyperlink" Target="https://www.sec.gov/Archives/edgar/data/1038074/000110465923009254/slab-20221231xex4d7.htm" TargetMode="External"/><Relationship Id="rId63" Type="http://schemas.openxmlformats.org/officeDocument/2006/relationships/hyperlink" Target="https://www.sec.gov/Archives/edgar/data/1038074/0000912057-00-001536-index.html" TargetMode="External"/><Relationship Id="rId66" Type="http://schemas.openxmlformats.org/officeDocument/2006/relationships/hyperlink" Target="https://www.sec.gov/Archives/edgar/data/1038074/000110465912053190/a12-17377_1ex10d1.htm" TargetMode="External"/><Relationship Id="rId67" Type="http://schemas.openxmlformats.org/officeDocument/2006/relationships/hyperlink" Target="https://www.sec.gov/Archives/edgar/data/1038074/000110465915054044/a15-16382_1ex10d1.htm" TargetMode="External"/><Relationship Id="rId68" Type="http://schemas.openxmlformats.org/officeDocument/2006/relationships/hyperlink" Target="https://www.sec.gov/Archives/edgar/data/1038074/000119312517058950/d342600dex101.htm" TargetMode="External"/><Relationship Id="rId69" Type="http://schemas.openxmlformats.org/officeDocument/2006/relationships/hyperlink" Target="https://www.sec.gov/Archives/edgar/data/1038074/000141057819000701/tv526850_ex10-1.htm" TargetMode="External"/><Relationship Id="rId70" Type="http://schemas.openxmlformats.org/officeDocument/2006/relationships/hyperlink" Target="https://www.sec.gov/Archives/edgar/data/1038074/000119312520152205/d909911dex101.htm" TargetMode="External"/><Relationship Id="rId71" Type="http://schemas.openxmlformats.org/officeDocument/2006/relationships/hyperlink" Target="https://www.sec.gov/Archives/edgar/data/1038074/000110465912053190/a12-17377_1ex10d2.htm" TargetMode="External"/><Relationship Id="rId72" Type="http://schemas.openxmlformats.org/officeDocument/2006/relationships/hyperlink" Target="https://www.sec.gov/Archives/edgar/data/1038074/000104746917000461/a2230770zex-10_7.htm" TargetMode="External"/><Relationship Id="rId73" Type="http://schemas.openxmlformats.org/officeDocument/2006/relationships/hyperlink" Target="https://www.sec.gov/Archives/edgar/data/1038074/000104746917000461/a2230770zex-10_8.htm" TargetMode="External"/><Relationship Id="rId74" Type="http://schemas.openxmlformats.org/officeDocument/2006/relationships/hyperlink" Target="https://www.sec.gov/Archives/edgar/data/1038074/000104746917000461/a2230770zex-10_9.htm" TargetMode="External"/><Relationship Id="rId75" Type="http://schemas.openxmlformats.org/officeDocument/2006/relationships/hyperlink" Target="https://www.sec.gov/Archives/edgar/data/1038074/000110465921068117/tm2116568d1_ex10-2.htm" TargetMode="External"/><Relationship Id="rId76" Type="http://schemas.openxmlformats.org/officeDocument/2006/relationships/hyperlink" Target="https://www.sec.gov/Archives/edgar/data/1038074/000110465921068117/tm2116568d1_ex10-3.htm" TargetMode="External"/><Relationship Id="rId77" Type="http://schemas.openxmlformats.org/officeDocument/2006/relationships/hyperlink" Target="https://www.sec.gov/Archives/edgar/data/1038074/000110465921061719/tm2114482d1_ex4-3.htm" TargetMode="External"/><Relationship Id="rId78" Type="http://schemas.openxmlformats.org/officeDocument/2006/relationships/hyperlink" Target="https://www.sec.gov/Archives/edgar/data/1038074/000110465921061719/tm2114482d1_ex4-4.htm" TargetMode="External"/><Relationship Id="rId79" Type="http://schemas.openxmlformats.org/officeDocument/2006/relationships/hyperlink" Target="https://www.sec.gov/Archives/edgar/data/1038074/000110465921152747/tm2136176d1_ex10-1.htm" TargetMode="External"/><Relationship Id="rId80" Type="http://schemas.openxmlformats.org/officeDocument/2006/relationships/hyperlink" Target="https://www.sec.gov/Archives/edgar/data/1038074/000110465923009254/slab-20221231xex10d20.htm" TargetMode="External"/><Relationship Id="rId81" Type="http://schemas.openxmlformats.org/officeDocument/2006/relationships/hyperlink" Target="https://www.sec.gov/ix?doc=/Archives/edgar/data/1038074/000110465923077604/tm2320321d1_8k.htm" TargetMode="External"/><Relationship Id="rId82" Type="http://schemas.openxmlformats.org/officeDocument/2006/relationships/hyperlink" Target="https://www.sec.gov/Archives/edgar/data/1038074/000110465924025535/slab-20231230xex10d19.htm" TargetMode="External"/><Relationship Id="rId85" Type="http://schemas.openxmlformats.org/officeDocument/2006/relationships/hyperlink" Target="https://www.sec.gov/Archives/edgar/data/1038074/000103807425000003/slab-insidertradingpolicy2.htm" TargetMode="External"/><Relationship Id="rId86" Type="http://schemas.openxmlformats.org/officeDocument/2006/relationships/hyperlink" Target="https://www.sec.gov/Archives/edgar/data/1038074/000110465924025535/slab-202312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2026-02-10T15:37:43Z</dcterms:created>
  <dcterms:modified xsi:type="dcterms:W3CDTF">2026-02-10T15:37:43Z</dcterms:modified>
</cp:coreProperties>
</file>