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5, 2025</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3"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7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000-29823</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SILICON LABORATORIES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120" w:type="dxa"/>
            <w:vAlign w:val="bottom"/>
          </w:tcPr>
          <w:p>
            <w:pPr>
              <w:jc w:val="center"/>
              <w:ind w:right="11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74-2793174</w:t>
            </w:r>
          </w:p>
        </w:tc>
      </w:tr>
      <w:tr>
        <w:trPr>
          <w:trHeight w:val="243"/>
        </w:trPr>
        <w:tc>
          <w:tcPr>
            <w:tcW w:w="5120" w:type="dxa"/>
            <w:vAlign w:val="bottom"/>
          </w:tcPr>
          <w:p>
            <w:pPr>
              <w:jc w:val="center"/>
              <w:ind w:right="115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0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51"/>
        </w:trPr>
        <w:tc>
          <w:tcPr>
            <w:tcW w:w="5120" w:type="dxa"/>
            <w:vAlign w:val="bottom"/>
          </w:tcPr>
          <w:p>
            <w:pPr>
              <w:jc w:val="center"/>
              <w:ind w:right="1159"/>
              <w:spacing w:after="0"/>
              <w:rPr>
                <w:sz w:val="20"/>
                <w:szCs w:val="20"/>
                <w:color w:val="auto"/>
              </w:rPr>
            </w:pPr>
            <w:r>
              <w:rPr>
                <w:rFonts w:ascii="Times New Roman" w:cs="Times New Roman" w:eastAsia="Times New Roman" w:hAnsi="Times New Roman"/>
                <w:sz w:val="16"/>
                <w:szCs w:val="16"/>
                <w:b w:val="1"/>
                <w:bCs w:val="1"/>
                <w:color w:val="auto"/>
              </w:rPr>
              <w:t>400 West Cesar Chavez, Austin, Texas</w:t>
            </w:r>
          </w:p>
        </w:tc>
        <w:tc>
          <w:tcPr>
            <w:tcW w:w="360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78701</w:t>
            </w:r>
          </w:p>
        </w:tc>
      </w:tr>
      <w:tr>
        <w:trPr>
          <w:trHeight w:val="243"/>
        </w:trPr>
        <w:tc>
          <w:tcPr>
            <w:tcW w:w="5120" w:type="dxa"/>
            <w:vAlign w:val="bottom"/>
          </w:tcPr>
          <w:p>
            <w:pPr>
              <w:jc w:val="center"/>
              <w:ind w:right="115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00" w:type="dxa"/>
            <w:vAlign w:val="bottom"/>
          </w:tcPr>
          <w:p>
            <w:pPr>
              <w:jc w:val="center"/>
              <w:ind w:left="11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(512) 416-8500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3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04"/>
        </w:trPr>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0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SLAB</w:t>
            </w:r>
          </w:p>
        </w:tc>
        <w:tc>
          <w:tcPr>
            <w:tcW w:w="8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63" w:lineRule="exact"/>
        <w:rPr>
          <w:sz w:val="24"/>
          <w:szCs w:val="24"/>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3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w:t>
      </w:r>
    </w:p>
    <w:p>
      <w:pPr>
        <w:spacing w:after="0" w:line="110" w:lineRule="exact"/>
        <w:rPr>
          <w:sz w:val="24"/>
          <w:szCs w:val="24"/>
          <w:color w:val="auto"/>
        </w:rPr>
      </w:pPr>
    </w:p>
    <w:p>
      <w:pPr>
        <w:ind w:right="40" w:firstLine="324"/>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w:t>
      </w:r>
    </w:p>
    <w:p>
      <w:pPr>
        <w:spacing w:after="0" w:line="110"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p>
      <w:pPr>
        <w:ind w:left="20"/>
        <w:spacing w:after="0" w:line="173" w:lineRule="exact"/>
        <w:tabs>
          <w:tab w:leader="none" w:pos="2160" w:val="left"/>
          <w:tab w:leader="none" w:pos="3840" w:val="left"/>
          <w:tab w:leader="none" w:pos="6140" w:val="left"/>
          <w:tab w:leader="none" w:pos="866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Wingdings" w:cs="Wingdings" w:eastAsia="Wingdings" w:hAnsi="Wingdings"/>
          <w:sz w:val="15"/>
          <w:szCs w:val="15"/>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Non-accelerated filer </w:t>
      </w:r>
      <w:r>
        <w:rPr>
          <w:rFonts w:ascii="Wingdings" w:cs="Wingdings" w:eastAsia="Wingdings" w:hAnsi="Wingdings"/>
          <w:sz w:val="15"/>
          <w:szCs w:val="15"/>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Smaller reporting company </w:t>
      </w:r>
      <w:r>
        <w:rPr>
          <w:rFonts w:ascii="Wingdings" w:cs="Wingdings" w:eastAsia="Wingdings" w:hAnsi="Wingdings"/>
          <w:sz w:val="15"/>
          <w:szCs w:val="15"/>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Emerging growth company </w:t>
      </w:r>
      <w:r>
        <w:rPr>
          <w:rFonts w:ascii="Wingdings" w:cs="Wingdings" w:eastAsia="Wingdings" w:hAnsi="Wingdings"/>
          <w:sz w:val="15"/>
          <w:szCs w:val="15"/>
          <w:b w:val="1"/>
          <w:bCs w:val="1"/>
          <w:color w:val="auto"/>
        </w:rPr>
        <w:t>o</w:t>
      </w:r>
    </w:p>
    <w:p>
      <w:pPr>
        <w:spacing w:after="0" w:line="200" w:lineRule="exact"/>
        <w:rPr>
          <w:sz w:val="24"/>
          <w:szCs w:val="24"/>
          <w:color w:val="auto"/>
        </w:rPr>
      </w:pPr>
    </w:p>
    <w:p>
      <w:pPr>
        <w:ind w:right="180" w:firstLine="324"/>
        <w:spacing w:after="0" w:line="28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jc w:val="right"/>
        <w:spacing w:after="0" w:line="207" w:lineRule="exact"/>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Yes</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w:t>
      </w:r>
    </w:p>
    <w:p>
      <w:pPr>
        <w:spacing w:after="0" w:line="9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May 6, 2025, 32,571,850 shares of common stock of Silicon Laboratories Inc.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3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94"/>
        </w:trPr>
        <w:tc>
          <w:tcPr>
            <w:tcW w:w="1032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Number</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500" w:type="dxa"/>
            <w:vAlign w:val="bottom"/>
          </w:tcPr>
          <w:p>
            <w:pPr>
              <w:spacing w:after="0"/>
              <w:rPr>
                <w:sz w:val="2"/>
                <w:szCs w:val="2"/>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rPr>
              <w:t>Item 1.</w:t>
            </w:r>
          </w:p>
        </w:tc>
        <w:tc>
          <w:tcPr>
            <w:tcW w:w="87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4"/>
                <w:szCs w:val="24"/>
                <w:color w:val="auto"/>
              </w:rPr>
            </w:pPr>
          </w:p>
        </w:tc>
        <w:tc>
          <w:tcPr>
            <w:tcW w:w="1100" w:type="dxa"/>
            <w:vAlign w:val="bottom"/>
            <w:gridSpan w:val="4"/>
            <w:vMerge w:val="continue"/>
          </w:tcPr>
          <w:p>
            <w:pPr>
              <w:spacing w:after="0"/>
              <w:rPr>
                <w:sz w:val="24"/>
                <w:szCs w:val="24"/>
                <w:color w:val="auto"/>
              </w:rPr>
            </w:pPr>
          </w:p>
        </w:tc>
        <w:tc>
          <w:tcPr>
            <w:tcW w:w="8720" w:type="dxa"/>
            <w:vAlign w:val="bottom"/>
            <w:gridSpan w:val="24"/>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at April 5, 2025 and December 28, 2024</w:t>
            </w:r>
          </w:p>
        </w:tc>
        <w:tc>
          <w:tcPr>
            <w:tcW w:w="284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1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April 5, 2025 and March 30, 2024</w:t>
            </w:r>
          </w:p>
        </w:tc>
        <w:tc>
          <w:tcPr>
            <w:tcW w:w="58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Loss for the three months ended April 5, 2025 and March 30,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Stockholders’ Equity for the three months ended April 5, 2025 and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30, 2024</w:t>
            </w:r>
          </w:p>
        </w:tc>
        <w:tc>
          <w:tcPr>
            <w:tcW w:w="7240" w:type="dxa"/>
            <w:vAlign w:val="bottom"/>
            <w:tcBorders>
              <w:top w:val="single" w:sz="8" w:color="0000EE"/>
            </w:tcBorders>
            <w:gridSpan w:val="16"/>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April 5, 2025 and March 30, 2024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180" w:type="dxa"/>
            <w:vAlign w:val="bottom"/>
            <w:tcBorders>
              <w:top w:val="single" w:sz="8" w:color="0000EE"/>
            </w:tcBorders>
            <w:gridSpan w:val="7"/>
          </w:tcPr>
          <w:p>
            <w:pPr>
              <w:spacing w:after="0"/>
              <w:rPr>
                <w:sz w:val="24"/>
                <w:szCs w:val="24"/>
                <w:color w:val="auto"/>
              </w:rPr>
            </w:pPr>
          </w:p>
        </w:tc>
        <w:tc>
          <w:tcPr>
            <w:tcW w:w="54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460" w:type="dxa"/>
            <w:vAlign w:val="bottom"/>
          </w:tcPr>
          <w:p>
            <w:pPr>
              <w:spacing w:after="0"/>
              <w:rPr>
                <w:sz w:val="24"/>
                <w:szCs w:val="24"/>
                <w:color w:val="auto"/>
              </w:rPr>
            </w:pPr>
          </w:p>
        </w:tc>
        <w:tc>
          <w:tcPr>
            <w:tcW w:w="64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26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3.</w:t>
            </w:r>
          </w:p>
        </w:tc>
        <w:tc>
          <w:tcPr>
            <w:tcW w:w="460" w:type="dxa"/>
            <w:vAlign w:val="bottom"/>
          </w:tcPr>
          <w:p>
            <w:pPr>
              <w:spacing w:after="0"/>
              <w:rPr>
                <w:sz w:val="24"/>
                <w:szCs w:val="24"/>
                <w:color w:val="auto"/>
              </w:rPr>
            </w:pPr>
          </w:p>
        </w:tc>
        <w:tc>
          <w:tcPr>
            <w:tcW w:w="43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36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Part II.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580" w:type="dxa"/>
            <w:vAlign w:val="bottom"/>
            <w:gridSpan w:val="2"/>
          </w:tcPr>
          <w:p>
            <w:pPr>
              <w:spacing w:after="0"/>
              <w:rPr>
                <w:sz w:val="24"/>
                <w:szCs w:val="24"/>
                <w:color w:val="auto"/>
              </w:rPr>
            </w:pPr>
          </w:p>
        </w:tc>
        <w:tc>
          <w:tcPr>
            <w:tcW w:w="13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380" w:type="dxa"/>
            <w:vAlign w:val="bottom"/>
            <w:gridSpan w:val="1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46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580" w:type="dxa"/>
            <w:vAlign w:val="bottom"/>
            <w:gridSpan w:val="2"/>
          </w:tcPr>
          <w:p>
            <w:pPr>
              <w:spacing w:after="0"/>
              <w:rPr>
                <w:sz w:val="24"/>
                <w:szCs w:val="24"/>
                <w:color w:val="auto"/>
              </w:rPr>
            </w:pPr>
          </w:p>
        </w:tc>
        <w:tc>
          <w:tcPr>
            <w:tcW w:w="43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4380" w:type="dxa"/>
            <w:vAlign w:val="bottom"/>
            <w:gridSpan w:val="9"/>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580" w:type="dxa"/>
            <w:vAlign w:val="bottom"/>
            <w:gridSpan w:val="2"/>
          </w:tcPr>
          <w:p>
            <w:pPr>
              <w:spacing w:after="0"/>
              <w:rPr>
                <w:sz w:val="24"/>
                <w:szCs w:val="24"/>
                <w:color w:val="auto"/>
              </w:rPr>
            </w:pPr>
          </w:p>
        </w:tc>
        <w:tc>
          <w:tcPr>
            <w:tcW w:w="23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400" w:type="dxa"/>
            <w:vAlign w:val="bottom"/>
            <w:gridSpan w:val="1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58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24"/>
                <w:szCs w:val="24"/>
                <w:color w:val="auto"/>
              </w:rPr>
            </w:pPr>
          </w:p>
        </w:tc>
        <w:tc>
          <w:tcPr>
            <w:tcW w:w="6960" w:type="dxa"/>
            <w:vAlign w:val="bottom"/>
            <w:gridSpan w:val="1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580" w:type="dxa"/>
            <w:vAlign w:val="bottom"/>
            <w:gridSpan w:val="2"/>
          </w:tcPr>
          <w:p>
            <w:pPr>
              <w:spacing w:after="0"/>
              <w:rPr>
                <w:sz w:val="24"/>
                <w:szCs w:val="24"/>
                <w:color w:val="auto"/>
              </w:rPr>
            </w:pPr>
          </w:p>
        </w:tc>
        <w:tc>
          <w:tcPr>
            <w:tcW w:w="6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8120" w:type="dxa"/>
            <w:vAlign w:val="bottom"/>
            <w:gridSpan w:val="19"/>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Cautionary Statement</w:t>
      </w:r>
    </w:p>
    <w:p>
      <w:pPr>
        <w:spacing w:after="0" w:line="22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Except for the historical financial information contained herein, the matters discussed in this report on Form 10-Q (as well as documents incorporated herein by reference) may be considered “forward-looking” statements within the meaning of Section 27A of the Securities Act of 1933, as amended, and Section 21E of the Securities Exchange Act of 1934, as amended. Such forward-looking statements include declarations regarding the intent, belief or current expectations of Silicon Laboratories Inc. and its management and may be signified by the words “believe,” “estimate,” “expect,” “intend,” “anticipate,” “plan,” “project,” “will” or similar language. You are cautioned that any such forward-looking statements are not guarantees of future performance and involve a number of risks and uncertainties. Actual results could differ materially from those indicated by such forward-looking statements. Factors that could cause or contribute to such differences include those discussed under “Risk Factors” and elsewhere in this report. Silicon Laboratories disclaims any intention or obligation to update or revise any forward-looking statements, whether as a result of new information, future events or otherwise.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5,</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281,607</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w:t>
            </w: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602,033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376,389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75,617</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1,229,496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1,222,674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6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 and returns liability</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52,362</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44,770</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 $0.0001 par value; 10,000 shares authorized; no shares issued</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818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Common stock – $0.0001 par value; 250,000 shares authorized; 32,473 and 32,458 shares issued and</w:t>
            </w:r>
          </w:p>
        </w:tc>
        <w:tc>
          <w:tcPr>
            <w:tcW w:w="30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outstanding at April 5, 2025 and December 28, 2024, respectively</w:t>
            </w:r>
          </w:p>
        </w:tc>
        <w:tc>
          <w:tcPr>
            <w:tcW w:w="30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1,001,721</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1,068,419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1,080,021</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1,229,496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1,222,674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8"/>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260" w:type="dxa"/>
            <w:vAlign w:val="bottom"/>
          </w:tcPr>
          <w:p>
            <w:pPr>
              <w:spacing w:after="0"/>
              <w:rPr>
                <w:sz w:val="13"/>
                <w:szCs w:val="13"/>
                <w:color w:val="auto"/>
              </w:rPr>
            </w:pPr>
          </w:p>
        </w:tc>
        <w:tc>
          <w:tcPr>
            <w:tcW w:w="1220" w:type="dxa"/>
            <w:vAlign w:val="bottom"/>
          </w:tcPr>
          <w:p>
            <w:pPr>
              <w:jc w:val="right"/>
              <w:ind w:right="332"/>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106,375</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51,306</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80,650</w:t>
            </w: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33,553</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129,857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(59,134)</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r>
      <w:tr>
        <w:trPr>
          <w:trHeight w:val="257"/>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(56,911)</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5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63"/>
        </w:trPr>
        <w:tc>
          <w:tcPr>
            <w:tcW w:w="8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31,910</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31,910</w:t>
            </w: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8"/>
        </w:trPr>
        <w:tc>
          <w:tcPr>
            <w:tcW w:w="8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240" w:type="dxa"/>
            <w:vAlign w:val="bottom"/>
          </w:tcPr>
          <w:p>
            <w:pPr>
              <w:spacing w:after="0"/>
              <w:rPr>
                <w:sz w:val="13"/>
                <w:szCs w:val="13"/>
                <w:color w:val="auto"/>
              </w:rPr>
            </w:pPr>
          </w:p>
        </w:tc>
        <w:tc>
          <w:tcPr>
            <w:tcW w:w="1120" w:type="dxa"/>
            <w:vAlign w:val="bottom"/>
          </w:tcPr>
          <w:p>
            <w:pPr>
              <w:jc w:val="right"/>
              <w:ind w:right="273"/>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0"/>
        </w:trPr>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(56,526)</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changes to available-for-sale securities:</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arising during the period</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63"/>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for losses (gains) included in net loss</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8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changes to cash flow hedges:</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arising during the period</w:t>
            </w:r>
          </w:p>
        </w:tc>
        <w:tc>
          <w:tcPr>
            <w:tcW w:w="2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57"/>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for gains included in net loss</w:t>
            </w: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5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63"/>
        </w:trPr>
        <w:tc>
          <w:tcPr>
            <w:tcW w:w="84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 related to items of other comprehensive income</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8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43"/>
        </w:trPr>
        <w:tc>
          <w:tcPr>
            <w:tcW w:w="8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7"/>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(55,978)</w:t>
            </w:r>
          </w:p>
        </w:tc>
      </w:tr>
      <w:tr>
        <w:trPr>
          <w:trHeight w:val="20"/>
        </w:trPr>
        <w:tc>
          <w:tcPr>
            <w:tcW w:w="8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90"/>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April 5, 2025</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3"/>
        </w:trPr>
        <w:tc>
          <w:tcPr>
            <w:tcW w:w="3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28, 2024</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78,227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1,001,721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1,080,021</w:t>
            </w:r>
          </w:p>
        </w:tc>
      </w:tr>
      <w:tr>
        <w:trPr>
          <w:trHeight w:val="210"/>
        </w:trPr>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(30,470)</w:t>
            </w:r>
          </w:p>
        </w:tc>
      </w:tr>
      <w:tr>
        <w:trPr>
          <w:trHeight w:val="33"/>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3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0"/>
        </w:trPr>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 issuances, net of shares withheld for taxes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r>
      <w:tr>
        <w:trPr>
          <w:trHeight w:val="33"/>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19,569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19,569</w:t>
            </w:r>
          </w:p>
        </w:tc>
      </w:tr>
      <w:tr>
        <w:trPr>
          <w:trHeight w:val="23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April 5,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32,473</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96,838</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971,251</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1,068,419</w:t>
            </w:r>
          </w:p>
        </w:tc>
      </w:tr>
      <w:tr>
        <w:trPr>
          <w:trHeight w:val="23"/>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14"/>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4"/>
                <w:szCs w:val="2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0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8"/>
                <w:szCs w:val="18"/>
                <w:color w:val="auto"/>
              </w:rPr>
            </w:pPr>
          </w:p>
        </w:tc>
        <w:tc>
          <w:tcPr>
            <w:tcW w:w="11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221"/>
        </w:trPr>
        <w:tc>
          <w:tcPr>
            <w:tcW w:w="37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30, 2023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16,973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1,208,682</w:t>
            </w:r>
          </w:p>
        </w:tc>
      </w:tr>
      <w:tr>
        <w:trPr>
          <w:trHeight w:val="210"/>
        </w:trPr>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(56,526)</w:t>
            </w:r>
          </w:p>
        </w:tc>
      </w:tr>
      <w:tr>
        <w:trPr>
          <w:trHeight w:val="33"/>
        </w:trPr>
        <w:tc>
          <w:tcPr>
            <w:tcW w:w="388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3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210"/>
        </w:trPr>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 issuances, net of shares withheld for taxes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r>
      <w:tr>
        <w:trPr>
          <w:trHeight w:val="33"/>
        </w:trPr>
        <w:tc>
          <w:tcPr>
            <w:tcW w:w="388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13,564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13,564</w:t>
            </w:r>
          </w:p>
        </w:tc>
      </w:tr>
      <w:tr>
        <w:trPr>
          <w:trHeight w:val="23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March 30,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31,924</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29,830</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1,136,205</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1,165,561</w:t>
            </w:r>
          </w:p>
        </w:tc>
      </w:tr>
      <w:tr>
        <w:trPr>
          <w:trHeight w:val="23"/>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58"/>
        </w:trPr>
        <w:tc>
          <w:tcPr>
            <w:tcW w:w="774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right"/>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0"/>
        </w:trPr>
        <w:tc>
          <w:tcPr>
            <w:tcW w:w="7740" w:type="dxa"/>
            <w:vAlign w:val="bottom"/>
          </w:tcPr>
          <w:p>
            <w:pPr>
              <w:spacing w:after="0"/>
              <w:rPr>
                <w:sz w:val="16"/>
                <w:szCs w:val="16"/>
                <w:color w:val="auto"/>
              </w:rPr>
            </w:pPr>
          </w:p>
        </w:tc>
        <w:tc>
          <w:tcPr>
            <w:tcW w:w="110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7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(56,526)</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r>
      <w:tr>
        <w:trPr>
          <w:trHeight w:val="210"/>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6,634</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w:t>
            </w:r>
          </w:p>
        </w:tc>
      </w:tr>
      <w:tr>
        <w:trPr>
          <w:trHeight w:val="210"/>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13,612</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w:t>
            </w:r>
          </w:p>
        </w:tc>
      </w:tr>
      <w:tr>
        <w:trPr>
          <w:trHeight w:val="210"/>
        </w:trPr>
        <w:tc>
          <w:tcPr>
            <w:tcW w:w="77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w:t>
            </w:r>
          </w:p>
        </w:tc>
      </w:tr>
      <w:tr>
        <w:trPr>
          <w:trHeight w:val="210"/>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(3,958)</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(15,466)</w:t>
            </w:r>
          </w:p>
        </w:tc>
      </w:tr>
      <w:tr>
        <w:trPr>
          <w:trHeight w:val="210"/>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(13,829)</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current liabilities and income taxes</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r>
      <w:tr>
        <w:trPr>
          <w:trHeight w:val="210"/>
        </w:trPr>
        <w:tc>
          <w:tcPr>
            <w:tcW w:w="77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revenue and returns liability</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(3,113)</w:t>
            </w:r>
          </w:p>
        </w:tc>
      </w:tr>
      <w:tr>
        <w:trPr>
          <w:trHeight w:val="20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48,128</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(71,800)</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08"/>
        </w:trPr>
        <w:tc>
          <w:tcPr>
            <w:tcW w:w="77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1"/>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(9,794)</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25,763</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55,188</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equity investment</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w:t>
            </w:r>
          </w:p>
        </w:tc>
      </w:tr>
      <w:tr>
        <w:trPr>
          <w:trHeight w:val="20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81,492</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08"/>
        </w:trPr>
        <w:tc>
          <w:tcPr>
            <w:tcW w:w="77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1"/>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debt</w:t>
            </w:r>
          </w:p>
        </w:tc>
        <w:tc>
          <w:tcPr>
            <w:tcW w:w="1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taxes withheld for vested stock awards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common stock</w:t>
            </w: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0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(45,707)</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08"/>
        </w:trPr>
        <w:tc>
          <w:tcPr>
            <w:tcW w:w="77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(36,015)</w:t>
            </w:r>
          </w:p>
        </w:tc>
      </w:tr>
      <w:tr>
        <w:trPr>
          <w:trHeight w:val="33"/>
        </w:trPr>
        <w:tc>
          <w:tcPr>
            <w:tcW w:w="7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281,607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227,504</w:t>
            </w:r>
          </w:p>
        </w:tc>
      </w:tr>
      <w:tr>
        <w:trPr>
          <w:trHeight w:val="23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10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324,877</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191,489</w:t>
            </w:r>
          </w:p>
        </w:tc>
      </w:tr>
      <w:tr>
        <w:trPr>
          <w:trHeight w:val="23"/>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27"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(“U.S. GAAP”) for interim financial information and the instructions to Form 10-Q and Article 10 of Regulation S-X. The information included herein contains all normal recurring accruals and adjustments which, in the opinion of management, are necessary to present fairly Silicon Laboratories Inc.’s (the “Company”) financial position, results of its operations, comprehensive loss, stockholders’ equity, and cash flows. The Condensed Consolidated Balance Sheet as of December 28, 2024 was derived from the Company’s audited Consolidated Financial Statements. All intercompany balances and transactions have been eliminated in consolidation. The condensed consolidated results of operations for the three months ended April 5, 2025 are not necessarily indicative of the results to be expected for the full year.</w:t>
      </w:r>
    </w:p>
    <w:p>
      <w:pPr>
        <w:spacing w:after="0" w:line="18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notes thereto for the year ended December 28, 2024, included in the Company’s Annual Report on Form 10-K filed with the Securities and Exchange Commission (“SEC”) on February 4, 2025.</w:t>
      </w:r>
    </w:p>
    <w:p>
      <w:pPr>
        <w:spacing w:after="0" w:line="176"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The Company prepares financial statements on a 52- or 53-week fiscal year that ends on the Saturday closest to December 31. Fiscal 2025 will have 53 weeks with the extra week occurring in the first quarter of the year. Fiscal 2024 had 52 weeks. In a 52-week year, each fiscal quarter consists of 13 weeks.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the financial statements and accompanying notes. Among the significant estimates affecting the financial statements are those related to inventories, goodwill, acquired intangible assets, other long-lived assets, revenue recognition, stock-based compensation, and income taxes. Actual results could differ from those estimates, and such differences could be material to the financial statements. The Company periodically reviews the assumptions used in its financial statement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740)—Improvements to Income Tax Disclosures</w:t>
      </w:r>
      <w:r>
        <w:rPr>
          <w:rFonts w:ascii="Times New Roman" w:cs="Times New Roman" w:eastAsia="Times New Roman" w:hAnsi="Times New Roman"/>
          <w:sz w:val="18"/>
          <w:szCs w:val="18"/>
          <w:color w:val="auto"/>
        </w:rPr>
        <w:t>. This ASU requires that reporting entities disclose specific categories in the effective tax rate reconciliation as well as information about income taxes paid. The authoritative guidance is effective for annual periods beginning after December 15, 2024, with early adoption permitted. As the requirements of this ASU are disclosure-related, the adoption will not have an impact on the Company’s consolidated financial position and results of operations. The Company is currently evaluating the impact of this update on its income tax disclosures.</w:t>
      </w:r>
    </w:p>
    <w:p>
      <w:pPr>
        <w:spacing w:after="0" w:line="183" w:lineRule="exact"/>
        <w:rPr>
          <w:sz w:val="20"/>
          <w:szCs w:val="20"/>
          <w:color w:val="auto"/>
        </w:rPr>
      </w:pPr>
    </w:p>
    <w:p>
      <w:pPr>
        <w:ind w:right="26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This ASU requires that public business entities disclose additional information about specific expense categories in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8"/>
        </w:trPr>
        <w:tc>
          <w:tcPr>
            <w:tcW w:w="8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240" w:type="dxa"/>
            <w:vAlign w:val="bottom"/>
          </w:tcPr>
          <w:p>
            <w:pPr>
              <w:spacing w:after="0"/>
              <w:rPr>
                <w:sz w:val="13"/>
                <w:szCs w:val="13"/>
                <w:color w:val="auto"/>
              </w:rPr>
            </w:pPr>
          </w:p>
        </w:tc>
        <w:tc>
          <w:tcPr>
            <w:tcW w:w="1120" w:type="dxa"/>
            <w:vAlign w:val="bottom"/>
          </w:tcPr>
          <w:p>
            <w:pPr>
              <w:jc w:val="right"/>
              <w:ind w:right="275"/>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0"/>
        </w:trPr>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(56,526)</w:t>
            </w:r>
          </w:p>
        </w:tc>
      </w:tr>
      <w:tr>
        <w:trPr>
          <w:trHeight w:val="243"/>
        </w:trPr>
        <w:tc>
          <w:tcPr>
            <w:tcW w:w="8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basic earnings per share</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31,910</w:t>
            </w:r>
          </w:p>
        </w:tc>
      </w:tr>
      <w:tr>
        <w:trPr>
          <w:trHeight w:val="257"/>
        </w:trPr>
        <w:tc>
          <w:tcPr>
            <w:tcW w:w="8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awards</w:t>
            </w:r>
          </w:p>
        </w:tc>
        <w:tc>
          <w:tcPr>
            <w:tcW w:w="2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8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diluted earnings per share</w:t>
            </w:r>
          </w:p>
        </w:tc>
        <w:tc>
          <w:tcPr>
            <w:tcW w:w="28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8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7"/>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63"/>
        </w:trPr>
        <w:tc>
          <w:tcPr>
            <w:tcW w:w="8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bl>
    <w:p>
      <w:pPr>
        <w:spacing w:after="0" w:line="29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Diluted shares for the three months ended April 5, 2025 and March 30, 2024 excluded 0.3 million and 0.4 million shares, respectively, as they were anti-dilutive due to the Company’s net loss for the periods. Securities that were anti-dilutive due to the Company’s stock price and were excluded from the computation of diluted earnings per share for the three months ended April 5, 2025 and March 30, 2024 were insignificant.</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the Company’s financial instruments are recorded using a hierarchical disclosure framework based upon the level of subjectivity of the inputs used in measuring assets and liabilities. The three levels are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Level 2 - Inputs other than Level 1 that are directly or indirectly observable, such as quoted prices for similar assets or liabilities and quoted prices in less active markets.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Level 3 - Inputs are unobservable for the asset or liability and are developed based on the best information available in the circumstances, which might include the Company’s own data.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 (Continued)</w:t>
      </w:r>
    </w:p>
    <w:p>
      <w:pPr>
        <w:spacing w:after="0" w:line="200" w:lineRule="exact"/>
        <w:rPr>
          <w:sz w:val="20"/>
          <w:szCs w:val="20"/>
          <w:color w:val="auto"/>
        </w:rPr>
      </w:pPr>
    </w:p>
    <w:p>
      <w:pPr>
        <w:spacing w:after="0" w:line="32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the valuation of the Company’s financial instruments (in thousands). The tables do not include either cash on hand or assets and liabilities that are measured at historical cost or any basis other than fair value.</w:t>
      </w:r>
    </w:p>
    <w:p>
      <w:pPr>
        <w:spacing w:after="0" w:line="209"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19" w:lineRule="exact"/>
        <w:rPr>
          <w:sz w:val="20"/>
          <w:szCs w:val="20"/>
          <w:color w:val="auto"/>
        </w:rPr>
      </w:pPr>
    </w:p>
    <w:p>
      <w:pPr>
        <w:jc w:val="center"/>
        <w:ind w:left="3640"/>
        <w:spacing w:after="0"/>
        <w:rPr>
          <w:sz w:val="20"/>
          <w:szCs w:val="20"/>
          <w:color w:val="auto"/>
        </w:rPr>
      </w:pPr>
      <w:r>
        <w:rPr>
          <w:rFonts w:ascii="Times New Roman" w:cs="Times New Roman" w:eastAsia="Times New Roman" w:hAnsi="Times New Roman"/>
          <w:sz w:val="14"/>
          <w:szCs w:val="14"/>
          <w:b w:val="1"/>
          <w:bCs w:val="1"/>
          <w:color w:val="auto"/>
        </w:rPr>
        <w:t>at April 5, 2025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22225</wp:posOffset>
            </wp:positionV>
            <wp:extent cx="23571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50"/>
        </w:trPr>
        <w:tc>
          <w:tcPr>
            <w:tcW w:w="54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bottom w:val="single" w:sz="8" w:color="CCEEFF"/>
            </w:tcBorders>
            <w:gridSpan w:val="2"/>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228,053</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gridSpan w:val="2"/>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228,053</w:t>
            </w:r>
          </w:p>
        </w:tc>
        <w:tc>
          <w:tcPr>
            <w:tcW w:w="20" w:type="dxa"/>
            <w:vAlign w:val="bottom"/>
            <w:tcBorders>
              <w:bottom w:val="single" w:sz="8" w:color="auto"/>
            </w:tcBorders>
          </w:tcPr>
          <w:p>
            <w:pPr>
              <w:spacing w:after="0"/>
              <w:rPr>
                <w:sz w:val="21"/>
                <w:szCs w:val="21"/>
                <w:color w:val="auto"/>
              </w:rPr>
            </w:pPr>
          </w:p>
        </w:tc>
      </w:tr>
      <w:tr>
        <w:trPr>
          <w:trHeight w:val="257"/>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228,053</w:t>
            </w: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228,053</w:t>
            </w:r>
          </w:p>
        </w:tc>
        <w:tc>
          <w:tcPr>
            <w:tcW w:w="20" w:type="dxa"/>
            <w:vAlign w:val="bottom"/>
            <w:shd w:val="clear" w:color="auto" w:fill="CCEEFF"/>
          </w:tcPr>
          <w:p>
            <w:pPr>
              <w:spacing w:after="0"/>
              <w:rPr>
                <w:sz w:val="22"/>
                <w:szCs w:val="22"/>
                <w:color w:val="auto"/>
              </w:rPr>
            </w:pPr>
          </w:p>
        </w:tc>
      </w:tr>
      <w:tr>
        <w:trPr>
          <w:trHeight w:val="257"/>
        </w:trPr>
        <w:tc>
          <w:tcPr>
            <w:tcW w:w="5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0"/>
        </w:trPr>
        <w:tc>
          <w:tcPr>
            <w:tcW w:w="5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 w:type="dxa"/>
            <w:vAlign w:val="bottom"/>
          </w:tcPr>
          <w:p>
            <w:pPr>
              <w:spacing w:after="0"/>
              <w:rPr>
                <w:sz w:val="21"/>
                <w:szCs w:val="21"/>
                <w:color w:val="auto"/>
              </w:rPr>
            </w:pPr>
          </w:p>
        </w:tc>
        <w:tc>
          <w:tcPr>
            <w:tcW w:w="5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20" w:type="dxa"/>
            <w:vAlign w:val="bottom"/>
          </w:tcPr>
          <w:p>
            <w:pPr>
              <w:spacing w:after="0"/>
              <w:rPr>
                <w:sz w:val="21"/>
                <w:szCs w:val="21"/>
                <w:color w:val="auto"/>
              </w:rPr>
            </w:pPr>
          </w:p>
        </w:tc>
      </w:tr>
      <w:tr>
        <w:trPr>
          <w:trHeight w:val="257"/>
        </w:trPr>
        <w:tc>
          <w:tcPr>
            <w:tcW w:w="5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95,993</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95,993</w:t>
            </w:r>
          </w:p>
        </w:tc>
        <w:tc>
          <w:tcPr>
            <w:tcW w:w="20" w:type="dxa"/>
            <w:vAlign w:val="bottom"/>
            <w:tcBorders>
              <w:bottom w:val="single" w:sz="8" w:color="auto"/>
            </w:tcBorders>
            <w:shd w:val="clear" w:color="auto" w:fill="CCEEFF"/>
          </w:tcPr>
          <w:p>
            <w:pPr>
              <w:spacing w:after="0"/>
              <w:rPr>
                <w:sz w:val="22"/>
                <w:szCs w:val="22"/>
                <w:color w:val="auto"/>
              </w:rPr>
            </w:pPr>
          </w:p>
        </w:tc>
      </w:tr>
      <w:tr>
        <w:trPr>
          <w:trHeight w:val="25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99,928</w:t>
            </w:r>
          </w:p>
        </w:tc>
        <w:tc>
          <w:tcPr>
            <w:tcW w:w="20" w:type="dxa"/>
            <w:vAlign w:val="bottom"/>
          </w:tcPr>
          <w:p>
            <w:pPr>
              <w:spacing w:after="0"/>
              <w:rPr>
                <w:sz w:val="21"/>
                <w:szCs w:val="21"/>
                <w:color w:val="auto"/>
              </w:rPr>
            </w:pPr>
          </w:p>
        </w:tc>
        <w:tc>
          <w:tcPr>
            <w:tcW w:w="5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99,928</w:t>
            </w:r>
          </w:p>
        </w:tc>
        <w:tc>
          <w:tcPr>
            <w:tcW w:w="20" w:type="dxa"/>
            <w:vAlign w:val="bottom"/>
          </w:tcPr>
          <w:p>
            <w:pPr>
              <w:spacing w:after="0"/>
              <w:rPr>
                <w:sz w:val="21"/>
                <w:szCs w:val="21"/>
                <w:color w:val="auto"/>
              </w:rPr>
            </w:pPr>
          </w:p>
        </w:tc>
      </w:tr>
      <w:tr>
        <w:trPr>
          <w:trHeight w:val="263"/>
        </w:trPr>
        <w:tc>
          <w:tcPr>
            <w:tcW w:w="54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r>
      <w:tr>
        <w:trPr>
          <w:trHeight w:val="25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228,053</w:t>
            </w:r>
          </w:p>
        </w:tc>
        <w:tc>
          <w:tcPr>
            <w:tcW w:w="2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99,928</w:t>
            </w:r>
          </w:p>
        </w:tc>
        <w:tc>
          <w:tcPr>
            <w:tcW w:w="2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327,981</w:t>
            </w:r>
          </w:p>
        </w:tc>
        <w:tc>
          <w:tcPr>
            <w:tcW w:w="20" w:type="dxa"/>
            <w:vAlign w:val="bottom"/>
            <w:tcBorders>
              <w:bottom w:val="single" w:sz="8" w:color="auto"/>
            </w:tcBorders>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95"/>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 December 28, 2024 Using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58"/>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54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tcPr>
          <w:p>
            <w:pPr>
              <w:spacing w:after="0"/>
              <w:rPr>
                <w:sz w:val="21"/>
                <w:szCs w:val="21"/>
                <w:color w:val="auto"/>
              </w:rPr>
            </w:pPr>
          </w:p>
        </w:tc>
      </w:tr>
      <w:tr>
        <w:trPr>
          <w:trHeight w:val="257"/>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shd w:val="clear" w:color="auto" w:fill="CCEEFF"/>
          </w:tcPr>
          <w:p>
            <w:pPr>
              <w:spacing w:after="0"/>
              <w:rPr>
                <w:sz w:val="22"/>
                <w:szCs w:val="22"/>
                <w:color w:val="auto"/>
              </w:rPr>
            </w:pPr>
          </w:p>
        </w:tc>
        <w:tc>
          <w:tcPr>
            <w:tcW w:w="32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tcPr>
          <w:p>
            <w:pPr>
              <w:spacing w:after="0"/>
              <w:rPr>
                <w:sz w:val="22"/>
                <w:szCs w:val="22"/>
                <w:color w:val="auto"/>
              </w:rPr>
            </w:pPr>
          </w:p>
        </w:tc>
      </w:tr>
      <w:tr>
        <w:trPr>
          <w:trHeight w:val="256"/>
        </w:trPr>
        <w:tc>
          <w:tcPr>
            <w:tcW w:w="5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20" w:type="dxa"/>
            <w:vAlign w:val="bottom"/>
          </w:tcPr>
          <w:p>
            <w:pPr>
              <w:spacing w:after="0"/>
              <w:rPr>
                <w:sz w:val="21"/>
                <w:szCs w:val="21"/>
                <w:color w:val="auto"/>
              </w:rPr>
            </w:pPr>
          </w:p>
        </w:tc>
        <w:tc>
          <w:tcPr>
            <w:tcW w:w="5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20" w:type="dxa"/>
            <w:vAlign w:val="bottom"/>
          </w:tcPr>
          <w:p>
            <w:pPr>
              <w:spacing w:after="0"/>
              <w:rPr>
                <w:sz w:val="21"/>
                <w:szCs w:val="21"/>
                <w:color w:val="auto"/>
              </w:rPr>
            </w:pPr>
          </w:p>
        </w:tc>
      </w:tr>
      <w:tr>
        <w:trPr>
          <w:trHeight w:val="257"/>
        </w:trPr>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60" w:type="dxa"/>
            <w:vAlign w:val="bottom"/>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20" w:type="dxa"/>
            <w:vAlign w:val="bottom"/>
          </w:tcPr>
          <w:p>
            <w:pPr>
              <w:spacing w:after="0"/>
              <w:rPr>
                <w:sz w:val="22"/>
                <w:szCs w:val="22"/>
                <w:color w:val="auto"/>
              </w:rPr>
            </w:pPr>
          </w:p>
        </w:tc>
      </w:tr>
      <w:tr>
        <w:trPr>
          <w:trHeight w:val="25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20" w:type="dxa"/>
            <w:vAlign w:val="bottom"/>
          </w:tcPr>
          <w:p>
            <w:pPr>
              <w:spacing w:after="0"/>
              <w:rPr>
                <w:sz w:val="21"/>
                <w:szCs w:val="21"/>
                <w:color w:val="auto"/>
              </w:rPr>
            </w:pPr>
          </w:p>
        </w:tc>
        <w:tc>
          <w:tcPr>
            <w:tcW w:w="5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20" w:type="dxa"/>
            <w:vAlign w:val="bottom"/>
          </w:tcPr>
          <w:p>
            <w:pPr>
              <w:spacing w:after="0"/>
              <w:rPr>
                <w:sz w:val="21"/>
                <w:szCs w:val="21"/>
                <w:color w:val="auto"/>
              </w:rPr>
            </w:pPr>
          </w:p>
        </w:tc>
      </w:tr>
      <w:tr>
        <w:trPr>
          <w:trHeight w:val="263"/>
        </w:trPr>
        <w:tc>
          <w:tcPr>
            <w:tcW w:w="54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tcBorders>
              <w:bottom w:val="single" w:sz="8" w:color="auto"/>
            </w:tcBorders>
            <w:gridSpan w:val="2"/>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20" w:type="dxa"/>
            <w:vAlign w:val="bottom"/>
          </w:tcPr>
          <w:p>
            <w:pPr>
              <w:spacing w:after="0"/>
              <w:rPr>
                <w:sz w:val="21"/>
                <w:szCs w:val="21"/>
                <w:color w:val="auto"/>
              </w:rPr>
            </w:pP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20" w:type="dxa"/>
            <w:vAlign w:val="bottom"/>
          </w:tcPr>
          <w:p>
            <w:pPr>
              <w:spacing w:after="0"/>
              <w:rPr>
                <w:sz w:val="21"/>
                <w:szCs w:val="21"/>
                <w:color w:val="auto"/>
              </w:rPr>
            </w:pPr>
          </w:p>
        </w:tc>
        <w:tc>
          <w:tcPr>
            <w:tcW w:w="52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288,611</w:t>
            </w:r>
          </w:p>
        </w:tc>
        <w:tc>
          <w:tcPr>
            <w:tcW w:w="20" w:type="dxa"/>
            <w:vAlign w:val="bottom"/>
          </w:tcPr>
          <w:p>
            <w:pPr>
              <w:spacing w:after="0"/>
              <w:rPr>
                <w:sz w:val="21"/>
                <w:szCs w:val="21"/>
                <w:color w:val="auto"/>
              </w:rPr>
            </w:pPr>
          </w:p>
        </w:tc>
      </w:tr>
      <w:tr>
        <w:trPr>
          <w:trHeight w:val="21"/>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Valuation methodology</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Company’s short-term investments that are classified as Level 2 are valued using non-binding market consensus prices that are corroborated with observable market data; quoted market prices for similar instruments in active markets; quoted prices in less active markets; or pricing models, such as a discounted cash flow model, with all significant inputs derived from or corroborated with observable market data. The Company’s foreign currency derivative instruments were valued using discounted cash flow models. The assumptions used in preparing the valuation models include foreign exchange rates, forward and spot prices for currencies and market observable data of similar instruments.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(Continued)</w:t>
      </w:r>
    </w:p>
    <w:p>
      <w:pPr>
        <w:spacing w:after="0" w:line="200" w:lineRule="exact"/>
        <w:rPr>
          <w:rFonts w:ascii="Times New Roman" w:cs="Times New Roman" w:eastAsia="Times New Roman" w:hAnsi="Times New Roman"/>
          <w:sz w:val="18"/>
          <w:szCs w:val="18"/>
          <w:b w:val="1"/>
          <w:bCs w:val="1"/>
          <w:color w:val="auto"/>
        </w:rPr>
      </w:pPr>
    </w:p>
    <w:p>
      <w:pPr>
        <w:spacing w:after="0" w:line="326"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summarizes the components of available-for-sale investments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April 5, 2025</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4"/>
                <w:szCs w:val="14"/>
                <w:color w:val="auto"/>
              </w:rPr>
            </w:pPr>
          </w:p>
        </w:tc>
        <w:tc>
          <w:tcPr>
            <w:tcW w:w="10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Cash Equivalent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98"/>
        </w:trPr>
        <w:tc>
          <w:tcPr>
            <w:tcW w:w="2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55"/>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0" w:type="dxa"/>
            <w:vAlign w:val="bottom"/>
          </w:tcPr>
          <w:p>
            <w:pPr>
              <w:spacing w:after="0"/>
              <w:rPr>
                <w:sz w:val="1"/>
                <w:szCs w:val="1"/>
                <w:color w:val="auto"/>
              </w:rPr>
            </w:pPr>
          </w:p>
        </w:tc>
      </w:tr>
      <w:tr>
        <w:trPr>
          <w:trHeight w:val="25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95,993</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327,567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327,981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228,053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99,928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Reported As</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28, 2024</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Pr>
          <w:p>
            <w:pPr>
              <w:spacing w:after="0"/>
              <w:rPr>
                <w:sz w:val="14"/>
                <w:szCs w:val="14"/>
                <w:color w:val="auto"/>
              </w:rPr>
            </w:pPr>
          </w:p>
        </w:tc>
        <w:tc>
          <w:tcPr>
            <w:tcW w:w="10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Cash Equivalent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0" w:type="dxa"/>
            <w:vAlign w:val="bottom"/>
          </w:tcPr>
          <w:p>
            <w:pPr>
              <w:spacing w:after="0"/>
              <w:rPr>
                <w:sz w:val="1"/>
                <w:szCs w:val="1"/>
                <w:color w:val="auto"/>
              </w:rPr>
            </w:pPr>
          </w:p>
        </w:tc>
      </w:tr>
      <w:tr>
        <w:trPr>
          <w:trHeight w:val="250"/>
        </w:trPr>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87,040</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288,523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288,611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100,554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Contractual maturities of investments</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Company’s available-for-sale investments are reported at fair value, with unrealized gains and losses, net of tax, recorded as a component of accumulated other comprehensive income in the Condensed Consolidated Balance Sheet. The following summarizes the contractual underlying maturities of the Company’s available-for-sale investments at April 5, 2025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Cost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52,113</w:t>
            </w:r>
          </w:p>
        </w:tc>
      </w:tr>
      <w:tr>
        <w:trPr>
          <w:trHeight w:val="25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47,815</w:t>
            </w:r>
          </w:p>
        </w:tc>
      </w:tr>
      <w:tr>
        <w:trPr>
          <w:trHeight w:val="275"/>
        </w:trPr>
        <w:tc>
          <w:tcPr>
            <w:tcW w:w="7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Unrealized Gains and Losses</w:t>
      </w:r>
    </w:p>
    <w:p>
      <w:pPr>
        <w:spacing w:after="0" w:line="227"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The available-for-sale investments that were in a continuous unrealized loss position, aggregated by length of time that individual securities have been in a continuous loss position,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6"/>
                <w:szCs w:val="16"/>
                <w:color w:val="auto"/>
              </w:rPr>
            </w:pPr>
          </w:p>
        </w:tc>
      </w:tr>
      <w:tr>
        <w:trPr>
          <w:trHeight w:val="23"/>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158"/>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5"/>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19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April 5, 2025</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3"/>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5"/>
        </w:trPr>
        <w:tc>
          <w:tcPr>
            <w:tcW w:w="32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Fair Value of Financial Instruments (Continued)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tcPr>
          <w:p>
            <w:pPr>
              <w:spacing w:after="0"/>
              <w:rPr>
                <w:sz w:val="16"/>
                <w:szCs w:val="16"/>
                <w:color w:val="auto"/>
              </w:rPr>
            </w:pPr>
          </w:p>
        </w:tc>
      </w:tr>
      <w:tr>
        <w:trPr>
          <w:trHeight w:val="23"/>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158"/>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15"/>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19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28, 2024</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3"/>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 debt securities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5"/>
        </w:trPr>
        <w:tc>
          <w:tcPr>
            <w:tcW w:w="32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gross unrealized losses as of April 5, 2025 and December 28, 2024 were due primarily to changes in market interest rates. At April 5, 2025 and December 28, 2024, there were no material unrealized gains associated with the Company’s available-for-sale investments.</w:t>
      </w:r>
    </w:p>
    <w:p>
      <w:pPr>
        <w:spacing w:after="0" w:line="16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an allowance for credit loss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 As of April 5, 2025, there were no material declines in the market value of available-for-sale investments due to credit-related factors.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values of other financial instruments</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Company’s other financial instruments, including cash, accounts receivable and accounts payable, are recorded at amounts that approximate their fair values due to their short maturities.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Derivative Financial Instruments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may use derivative financial instruments to manage certain exposures to the variability of foreign currency exchange rates. The Company’s objective is to offset increases and decreases in expenses resulting from these exposures with gains and losses on the derivative contracts, thereby reducing volatility of earnings. The Company does not use derivative contracts for speculative or trading purposes. The Company recognizes derivatives, on a gross basis, in the Condensed Consolidated Balance Sheet at fair value. Cash flows from derivatives are classified according to the nature of the cash receipt or payment in the Condensed Consolidated Statement of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may use foreign currency forward contracts to reduce the earnings impact that exchange rate fluctuations have on operating expenses denominated in currencies other than the U.S. dollar. Changes in the fair value of the contracts were recorded in accumulated other comprehensive income in the Condensed Consolidated Balance Sheet and subsequently reclassified into earnings in the period during which the hedged transaction was recognized. The reclassified amount was reported in the same financial statement line item as the hedged item. If the foreign currency forward contracts are terminated or can no longer qualify as hedging instruments prior to maturity, the fair value of the contracts recorded in accumulated other comprehensive income may be recognized in the Condensed Consolidated Statement of Operations based on an assessment of the contracts at the time of termination. As of April 5, 2025, the Company held no such foreign currency forward contracts. The fair value of the contracts, contract gains or losses recognized in other comprehensive income and amounts reclassified from accumulated other comprehensive income into earnings were not material for any of the periods presented.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Information</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details of selected Condensed Consolidated Balance Sheet items (in thousands):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April 5,</w:t>
            </w:r>
          </w:p>
        </w:tc>
        <w:tc>
          <w:tcPr>
            <w:tcW w:w="240" w:type="dxa"/>
            <w:vAlign w:val="bottom"/>
          </w:tcPr>
          <w:p>
            <w:pPr>
              <w:spacing w:after="0"/>
              <w:rPr>
                <w:sz w:val="14"/>
                <w:szCs w:val="14"/>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90"/>
        </w:trPr>
        <w:tc>
          <w:tcPr>
            <w:tcW w:w="7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83,562</w:t>
            </w:r>
          </w:p>
        </w:tc>
      </w:tr>
      <w:tr>
        <w:trPr>
          <w:trHeight w:val="25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24,382</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22,077</w:t>
            </w:r>
          </w:p>
        </w:tc>
      </w:tr>
      <w:tr>
        <w:trPr>
          <w:trHeight w:val="275"/>
        </w:trPr>
        <w:tc>
          <w:tcPr>
            <w:tcW w:w="7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83,397</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105,639</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income</w:t>
      </w:r>
    </w:p>
    <w:p>
      <w:pPr>
        <w:spacing w:after="0" w:line="227"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Company leases a portion of its headquarter facilities to other tenants. Lease income from operating leases was $0.5 million and $0.8 million during the three months ended April 5, 2025 and March 30, 2024, respectively.</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Facility</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The Company and certain of its domestic subsidiaries (the “Guarantors”) have a $400 million revolving credit facility, as amended on June 30, 2023, with a maturity date of June 30, 2028. The credit facility includes a $25 million letter of credit sublimit and a $10 million swingline loan sublimit. The Company also has an option to increase the size of the borrowing capacity by up to the greater of an aggregate of $250 million and 100% of EBITDA of the last four fiscal quarters, plus an amount that would not cause a secured net leverage ratio (funded debt secured by assets/EBITDA) to exceed 3.50 to 1.00, subject to certain conditions.</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credit facility, other than swingline loans, will bear interest at the Adjusted Term Secured Overnight Financing Rate (“SOFR”) plus an applicable margin or, at the option of the Company, a base rate (defined as the highest of the Wells Fargo prime rate, the Federal Funds rate plus 0.50% and the Adjusted Term SOFR plus 1.00%) plus an applicable margin. Swingline loans accrue interest at the base rate plus the applicable margin for base rate loans. The applicable margins for the Adjusted Term SOFR loans range from 1.00% to 1.75% and for base rate loans range from 0.00% to 0.75%, depending in each case, on the leverage ratio as defined in the credit facility.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credit facility contains various conditions, covenants and representations with which the Company must be in compliance in order to borrow funds and to avoid an event of default, including financial covenants that the Company must maintain a consolidated net leverage ratio (funded indebtedness less cash and cash equivalents up to $750 million and divided by EBITDA) of no more than 4.25 to 1, and a minimum interest coverage ratio (EBITDA/interest payments) of no less than 2.50 to 1.</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was granted a waiver of compliance for the minimum interest coverage ratio through October 4, 2025. Based on the waiver, as of April 5, 2025, the Company was in compliance with all covenants of the credit facility. The Company’s obligations under the credit facility are guaranteed by the Guarantors and are secured by a security interest in substantially all assets of the Company and the Guarantors. As of April 5, 2025, no amounts were outstanding on the credit facility.</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involved in various legal proceedings that have arisen in the normal course of business. While the ultimate results cannot be predicted with certainty, the Company does not expect them to have a material adverse effect on its Condensed Consolidated Financial Statements.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Revenues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Company groups its products as Industrial &amp; Commercial or Home &amp; Life based on the target markets they address. The following represents revenue by product category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8"/>
        </w:trPr>
        <w:tc>
          <w:tcPr>
            <w:tcW w:w="7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300" w:type="dxa"/>
            <w:vAlign w:val="bottom"/>
          </w:tcPr>
          <w:p>
            <w:pPr>
              <w:spacing w:after="0"/>
              <w:rPr>
                <w:sz w:val="13"/>
                <w:szCs w:val="13"/>
                <w:color w:val="auto"/>
              </w:rPr>
            </w:pPr>
          </w:p>
        </w:tc>
        <w:tc>
          <w:tcPr>
            <w:tcW w:w="1300" w:type="dxa"/>
            <w:vAlign w:val="bottom"/>
          </w:tcPr>
          <w:p>
            <w:pPr>
              <w:jc w:val="right"/>
              <w:ind w:right="397"/>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0"/>
        </w:trPr>
        <w:tc>
          <w:tcPr>
            <w:tcW w:w="7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&amp; Commercial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65,262</w:t>
            </w:r>
          </w:p>
        </w:tc>
      </w:tr>
      <w:tr>
        <w:trPr>
          <w:trHeight w:val="25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Home &amp; Life</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81,738</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41,113</w:t>
            </w:r>
          </w:p>
        </w:tc>
      </w:tr>
      <w:tr>
        <w:trPr>
          <w:trHeight w:val="275"/>
        </w:trPr>
        <w:tc>
          <w:tcPr>
            <w:tcW w:w="7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portion of the Company’s sales are made to distributors under agreements allowing certain rights of return and/or price protection related to the final selling price to the end customers. These factors impact the timing and uncertainty of revenues and cash flows. During the three months ended April 5, 2025 and March 30, 2024, the impact of revenue related to performance obligations that were satisfied in previous reporting periods was insignificant. The following disaggregates the Company’s revenue by sales channel (in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8"/>
        </w:trPr>
        <w:tc>
          <w:tcPr>
            <w:tcW w:w="7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300" w:type="dxa"/>
            <w:vAlign w:val="bottom"/>
          </w:tcPr>
          <w:p>
            <w:pPr>
              <w:spacing w:after="0"/>
              <w:rPr>
                <w:sz w:val="13"/>
                <w:szCs w:val="13"/>
                <w:color w:val="auto"/>
              </w:rPr>
            </w:pPr>
          </w:p>
        </w:tc>
        <w:tc>
          <w:tcPr>
            <w:tcW w:w="1300" w:type="dxa"/>
            <w:vAlign w:val="bottom"/>
          </w:tcPr>
          <w:p>
            <w:pPr>
              <w:jc w:val="right"/>
              <w:ind w:right="397"/>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0"/>
        </w:trPr>
        <w:tc>
          <w:tcPr>
            <w:tcW w:w="7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70,360</w:t>
            </w:r>
          </w:p>
        </w:tc>
      </w:tr>
      <w:tr>
        <w:trPr>
          <w:trHeight w:val="25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customers</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60,525</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36,015</w:t>
            </w:r>
          </w:p>
        </w:tc>
      </w:tr>
      <w:tr>
        <w:trPr>
          <w:trHeight w:val="275"/>
        </w:trPr>
        <w:tc>
          <w:tcPr>
            <w:tcW w:w="7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costs are based on the fair values on the date of grant for stock awards and stock options and on the date of enrollment for the employee stock purchase plans. The fair values of stock awards (such as restricted stock units (“RSUs”) and performance stock units (“PSUs”)) are estimated based on their intrinsic values. The fair values of market stock awards (“MSUs”) are estimated using a Monte Carlo simulation. The fair values of stock options and employee stock purchase plans are estimated using the Black-Scholes option-pricing model.</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Stock-Based Compensation (Continued)</w:t>
      </w:r>
    </w:p>
    <w:p>
      <w:pPr>
        <w:spacing w:after="0" w:line="200" w:lineRule="exact"/>
        <w:rPr>
          <w:sz w:val="20"/>
          <w:szCs w:val="20"/>
          <w:color w:val="auto"/>
        </w:rPr>
      </w:pPr>
    </w:p>
    <w:p>
      <w:pPr>
        <w:spacing w:after="0" w:line="326"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of stock-based compensation costs recognized in the Condensed Consolidated Statements of Operations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8"/>
        </w:trPr>
        <w:tc>
          <w:tcPr>
            <w:tcW w:w="7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280" w:type="dxa"/>
            <w:vAlign w:val="bottom"/>
          </w:tcPr>
          <w:p>
            <w:pPr>
              <w:spacing w:after="0"/>
              <w:rPr>
                <w:sz w:val="13"/>
                <w:szCs w:val="13"/>
                <w:color w:val="auto"/>
              </w:rPr>
            </w:pPr>
          </w:p>
        </w:tc>
        <w:tc>
          <w:tcPr>
            <w:tcW w:w="1300" w:type="dxa"/>
            <w:vAlign w:val="bottom"/>
          </w:tcPr>
          <w:p>
            <w:pPr>
              <w:jc w:val="right"/>
              <w:ind w:right="395"/>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0"/>
        </w:trPr>
        <w:tc>
          <w:tcPr>
            <w:tcW w:w="7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w:t>
            </w:r>
          </w:p>
        </w:tc>
      </w:tr>
      <w:tr>
        <w:trPr>
          <w:trHeight w:val="25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r>
      <w:tr>
        <w:trPr>
          <w:trHeight w:val="250"/>
        </w:trPr>
        <w:tc>
          <w:tcPr>
            <w:tcW w:w="7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w:t>
            </w:r>
          </w:p>
        </w:tc>
      </w:tr>
      <w:tr>
        <w:trPr>
          <w:trHeight w:val="25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5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11,885</w:t>
            </w: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Company had approximately $106.5 million of total unrecognized compensation cost related to equity grants as of April 5, 2025 that is expected to be recognized over a weighted-average period of approximately 2.1 years.</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Provision for income taxes includes both domestic and foreign income taxes at the applicable tax rates adjusted for non-deductible expenses, research and development tax credits, global intangible low-taxed income, Subpart F income inclusions, change in the valuation allowance, and other permanent differences.</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Income tax expense (benefit) was $1.9 million and $(0.4) million for the three months ended April 5, 2025 and March 30, 2024, resulting in effective tax rates of (6.6)% and 0.7%, respectively. The change in the provision for income taxes for the three months ended April 5, 2025 is primarily due to tax expense associated with the increase in the valuation allowance in the three months ended April 5, 2025, whereas the valuation allowance had not yet been established in the three months ended March 30, 2024. During the three months ended June 29, 2024, the Company recorded a valuation allowance in the U.S. and Singapore due to a three-year cumulative pre-tax loss in conjunction with the downturn in the semiconductor industry. The Company intends to maintain the valuation allowance until its ability to forecast sufficient future sources of taxable income is reestablished.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of April 5, 2025, the Company had gross unrecognized tax benefits, inclusive of interest, of $5.2 million, of which $4.2 million would affect the effective tax rate if recognized. During the three months ended April 5, 2025, the Company did not release any unrecognized tax benefits.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Tax years 2019 through 2025 remain open to examination by the major taxing jurisdictions in which the Company operates. The Company’s 2022 tax year is currently under examination in the U.S. The Company’s 2021 and 2022 tax years are currently under examination in India. Although the outcome of tax audits is always uncertain, the Company believes that the results of these examinations will not materially impact its financial position or results of operations. The Company is not currently under audit in any other major taxing jurisdiction.</w:t>
      </w:r>
    </w:p>
    <w:p>
      <w:pPr>
        <w:spacing w:after="0" w:line="19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Company’s gross unrecognized tax benefits will decrease by approximately $1.8 million, inclusive of interest, in the next 12 months due to the lapse of the statute of limitations.</w:t>
      </w:r>
    </w:p>
    <w:p>
      <w:pPr>
        <w:spacing w:after="0" w:line="172"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has one operating segment, mixed-signal analog intensive products, consisting of numerous product areas. The Company’s chief operating decision maker (“CODM”) assesses performance for the operating segment and decides how to allocate resources based on net income (loss) that is also reported on the Condensed Consolidated Statement of Operations as Net loss. The measure of segment assets is reported on the Condensed Consolidated Balance Sheets as Total assets.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Silicon Laboratories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Revenue is attributed to a geographic area based on the shipped-to location. The following summarizes the Company’s revenue by geographic area (in thousands):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8"/>
        </w:trPr>
        <w:tc>
          <w:tcPr>
            <w:tcW w:w="7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300" w:type="dxa"/>
            <w:vAlign w:val="bottom"/>
          </w:tcPr>
          <w:p>
            <w:pPr>
              <w:spacing w:after="0"/>
              <w:rPr>
                <w:sz w:val="13"/>
                <w:szCs w:val="13"/>
                <w:color w:val="auto"/>
              </w:rPr>
            </w:pPr>
          </w:p>
        </w:tc>
        <w:tc>
          <w:tcPr>
            <w:tcW w:w="1300" w:type="dxa"/>
            <w:vAlign w:val="bottom"/>
          </w:tcPr>
          <w:p>
            <w:pPr>
              <w:jc w:val="right"/>
              <w:ind w:right="395"/>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0"/>
        </w:trPr>
        <w:tc>
          <w:tcPr>
            <w:tcW w:w="7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r>
      <w:tr>
        <w:trPr>
          <w:trHeight w:val="25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28,197</w:t>
            </w:r>
          </w:p>
        </w:tc>
      </w:tr>
      <w:tr>
        <w:trPr>
          <w:trHeight w:val="26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15,366</w:t>
            </w:r>
          </w:p>
        </w:tc>
      </w:tr>
      <w:tr>
        <w:trPr>
          <w:trHeight w:val="25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72,429</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57,868</w:t>
            </w:r>
          </w:p>
        </w:tc>
      </w:tr>
      <w:tr>
        <w:trPr>
          <w:trHeight w:val="282"/>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106,375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expense categories regularly provided to the CODM, in addition to the expense categories included within net loss presented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Condensed Consolidated Statement of Operations, are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4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8"/>
        </w:trPr>
        <w:tc>
          <w:tcPr>
            <w:tcW w:w="7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2"/>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280" w:type="dxa"/>
            <w:vAlign w:val="bottom"/>
          </w:tcPr>
          <w:p>
            <w:pPr>
              <w:spacing w:after="0"/>
              <w:rPr>
                <w:sz w:val="13"/>
                <w:szCs w:val="13"/>
                <w:color w:val="auto"/>
              </w:rPr>
            </w:pPr>
          </w:p>
        </w:tc>
        <w:tc>
          <w:tcPr>
            <w:tcW w:w="1300" w:type="dxa"/>
            <w:vAlign w:val="bottom"/>
          </w:tcPr>
          <w:p>
            <w:pPr>
              <w:jc w:val="right"/>
              <w:ind w:right="395"/>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r>
      <w:tr>
        <w:trPr>
          <w:trHeight w:val="190"/>
        </w:trPr>
        <w:tc>
          <w:tcPr>
            <w:tcW w:w="7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7"/>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base compensation</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32,972</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29,370</w:t>
            </w:r>
          </w:p>
        </w:tc>
      </w:tr>
      <w:tr>
        <w:trPr>
          <w:trHeight w:val="256"/>
        </w:trPr>
        <w:tc>
          <w:tcPr>
            <w:tcW w:w="7900" w:type="dxa"/>
            <w:vAlign w:val="bottom"/>
            <w:shd w:val="clear" w:color="auto" w:fill="CCEEFF"/>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Other research and development expenses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51,280</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88,219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80,650</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7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base compensation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12,507</w:t>
            </w:r>
          </w:p>
        </w:tc>
      </w:tr>
      <w:tr>
        <w:trPr>
          <w:trHeight w:val="257"/>
        </w:trPr>
        <w:tc>
          <w:tcPr>
            <w:tcW w:w="7900" w:type="dxa"/>
            <w:vAlign w:val="bottom"/>
            <w:tcBorders>
              <w:bottom w:val="single" w:sz="8" w:color="CCEEFF"/>
            </w:tcBorders>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Other selling, general and administrative expenses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21,046</w:t>
            </w:r>
          </w:p>
        </w:tc>
      </w:tr>
      <w:tr>
        <w:trPr>
          <w:trHeight w:val="275"/>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340" w:right="620" w:hanging="8"/>
        <w:spacing w:after="0" w:line="242" w:lineRule="auto"/>
        <w:tabs>
          <w:tab w:leader="none" w:pos="505"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research and development and selling, general and administrative expenses include other personnel-related expenses, outside services, software expense, depreciation and amortization of intangible assets, and other expenses.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Company’s property and equipment, net by geographic area (in thousands):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April 5,</w:t>
            </w:r>
          </w:p>
        </w:tc>
        <w:tc>
          <w:tcPr>
            <w:tcW w:w="240" w:type="dxa"/>
            <w:vAlign w:val="bottom"/>
          </w:tcPr>
          <w:p>
            <w:pPr>
              <w:spacing w:after="0"/>
              <w:rPr>
                <w:sz w:val="14"/>
                <w:szCs w:val="14"/>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90"/>
        </w:trPr>
        <w:tc>
          <w:tcPr>
            <w:tcW w:w="7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107,612</w:t>
            </w:r>
          </w:p>
        </w:tc>
      </w:tr>
      <w:tr>
        <w:trPr>
          <w:trHeight w:val="25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24,524</w:t>
            </w:r>
          </w:p>
        </w:tc>
      </w:tr>
      <w:tr>
        <w:trPr>
          <w:trHeight w:val="281"/>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should be read in conjunction with the Condensed Consolidated Financial Statements and related notes thereto included elsewhere in this report. This discussion contains forward-looking statements. Please see the “Cautionary Statement” above and “Risk Factors” below for discussions of the uncertainties, risks and assumptions associated with these statements. Our fiscal year-end financial reporting periods are a 52- or 53-week fiscal year that ends on the Saturday closest to December 31. Fiscal 2025 will have 53 weeks with the extra week occurring in the first quarter of the year. Fiscal 2024 had 52 weeks. Our first quarter of fiscal 2025 ended April 5, 2025 and our first quarter of fiscal 2024 ended March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recent years, the global economic environment has experienced inflationary pressure, high interest rates, and geopolitical tension, and we have experienced declines in revenues as our customers slowed purchases to reduce existing inventories in response to a softening market. There currently is increasing uncertainty regarding global macroeconomic conditions as a result of recent changes to U.S. trade policies, including tariffs on foreign imports to the U.S. The extent and duration of tariffs and the resulting impact on general economic conditions and our business are uncertain and depend on various factors, such as negotiations between the U.S. and affected countries, the responses of other countries (such as the retaliatory tariffs imposed by China), exemptions or exclusions that may apply, and any additional cost which may be borne by us, our suppliers, and/or our end customers. Additionally, increased geopolitical tensions, the risk of inflation and a recession, and the weakening U.S. dollar, have added to the uncertainty. The extent of the impact, or any new impact, of macroeconomic conditions on our operational and financial performance will depend on future developments, their impact to the businesses of our suppliers and/or customers, and other items identified under “Risk Factors” below, all of which are uncertain and cannot be predicted. Any extended period of global supply chain and economic disruption could materially affect our business, results of operations, access to sources of liquidity,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are a leader in secure, intelligent wireless technology for a more connected world. Our integrated hardware and software platform, intuitive development tools, industry leading ecosystem and robust support enable customers in building advanced industrial, commercial, home and life applications. We make it easy for developers to solve complex wireless challenges throughout the product lifecycle and get to market quickly with innovative solutions that transform industries, grow economies and improve lives. We provide analog-intensive, mixed-signal solutions for use in a variety of electronic products in a broad range of applications for the Internet of Things (“IoT”) including connected home and security, industrial automation and control, smart metering, smart lighting, commercial building automation, consumer electronics, asset tracking and medical instrumentation. We group our products as Industrial &amp; Commercial or Home &amp; Life based on the target markets they address.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a fabless semiconductor company, we rely on third-party semiconductor fabricators in Asia, and to a lesser extent the United States and Europe, to manufacture the silicon wafers that reflect our integrated circuit (“IC”) designs. Each wafer contains numerous die, which are cut from the wafer to create a chip for an IC. We rely on third parties in Asia to assemble, package, and, in most cases, test these devices and ship these units to our customers. Testing performed by such third parties facilitates faster delivery of products to our customers (particularly those located in Asia), shorter production cycle times, lower inventory requirements, lower costs and increased flexibility of test capacity.</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sales cycle for our ICs can be as long as 12 months or more. An additional three to six months or more are usually required before a customer ships a significant volume of devices that incorporate our ICs. Due to this lengthy sales cycle, we typically experience a significant delay between incurring research and development and selling, general and administrative expenses, and the corresponding sales. Consequently, if sales in any quarter do not occur when expected, expenses and inventory levels could be disproportionately high, and our operating results for that quarter and, potentially, future quarters would be adversely affected. Moreover, the amount of time between initial research and development and commercialization of a product, if ever, can be substantially longer than the sales cycle for the product. Accordingly, if we incur substantial research and development costs without developing a commercially successful product, our operating results, as well as our growth prospects, could be adversely affected.</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Because some of our ICs are designed for use in consumer products, we expect that the demand for our products will be typically subject to some degree of seasonal demand. However, rapid changes in our markets and across our product areas make it difficult for us to accurately estimate the impact of seasonal factors on our business.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Period Highlights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Revenues increased $71.3 million in the recent quarter compared to the first quarter of fiscal 2024 due to increased revenues from our Home &amp; Life products and our Industrial &amp; Commercial products. Gross profit increased $42.7 million during the same period primarily as a result of the increase in revenues. Gross margin increased to 55.0% in the recent quarter compared to 51.8% in the first quarter of fiscal 2024 as our indirect and overhead expenses remained relatively constant but decreased as a percentage of revenues. Operating expenses increased by $15.7 million in the recent quarter compared to the first quarter of fiscal 2024 primarily due to higher personnel-related costs. Operating loss in the recent quarter was $32.1 million compared to operating loss of $59.1 million in the first quarter of fiscal 2024. Refer to “Results of Operations” below for further discussion.</w:t>
      </w:r>
    </w:p>
    <w:p>
      <w:pPr>
        <w:spacing w:after="0" w:line="18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ended the first quarter of fiscal 2025 with $424.8 million in cash, cash equivalents, and short-term investments. Net cash provided by operating activities was $48.1 million during the current year three-month period. Accounts receivable were $52.1 million at April 5, 2025, representing 26 days sales outstanding (“DSO”). Inventory was $83.4 million at April 5, 2025, representing 94 days of inventory (“DOI”).</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April 5, 2025, we had no customer that represented more than 10% of our revenues. In addition to direct sales to customers, some of our end customers purchase products indirectly from us through distributors and contract manufacturers. An end customer purchasing through a contract manufacturer typically instructs such contract manufacturer to obtain our products and incorporate such products with other components for sale by such contract manufacturer to the end customer. Although we actually sell the products to, and are paid by, the distributors and contract manufacturers, we refer to such end customer as our customer. Two of our distributors who sell to our customers, Arrow Electronics and Edom Technology, each represented more than 10% of our revenues during the three months ended April 5, 2025.</w:t>
      </w:r>
    </w:p>
    <w:p>
      <w:pPr>
        <w:spacing w:after="0" w:line="1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percentage of our revenues derived from outside of the United States was 91% during the three months ended April 5, 2025. All of our revenues to date have been denominated in U.S. dollars. We believe that a majority of our revenues will continue to be derived from customers outside of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describes the line items set forth in our Condensed Consolidated Statements of Operations:</w:t>
      </w:r>
    </w:p>
    <w:p>
      <w:pPr>
        <w:spacing w:after="0" w:line="22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are generated predominately by sales of our products. Our revenues are subject to variation from period to period due to the volume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shipments made within a period, the mix of products we sell, and the prices we charge for our products.</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Cost of revenues includes the cost of purchasing finished silicon wafers processed by independent foundries; costs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assembly, test and shipping of those products; costs of personnel and equipment associated with manufacturing support, logistics, and quality assurance; costs of royalties, other intellectual property license costs, and certain acquired intangible assets; and an allocated portion of our occupancy costs. Our gross margin fluctuates depending on product mix, manufacturing yields, inventory valuation adjustments, average selling prices, and other factors.</w:t>
      </w:r>
    </w:p>
    <w:p>
      <w:pPr>
        <w:spacing w:after="0" w:line="1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Research and development expense consists primarily of personnel-related expenses, including stock-based compensation,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new product masks, external consulting and services costs, equipment tooling, equipment depreciation, amortization of intangible assets, and an allocated portion of our occupancy costs. Research and development activities include the design of new products, refinement of existing products and design of test methodologies to ensure compliance with required specifications.</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 consists primarily of personnel-related expenses, including stock-based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as well as an allocated portion of our occupancy costs, sales commissions to independent sales representatives, amortization of intangible assets, professional fees, legal fees, and promotional and marketing expenses.</w:t>
      </w:r>
    </w:p>
    <w:p>
      <w:pPr>
        <w:spacing w:after="0" w:line="1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and Other, Net. </w:t>
      </w:r>
      <w:r>
        <w:rPr>
          <w:rFonts w:ascii="Times New Roman" w:cs="Times New Roman" w:eastAsia="Times New Roman" w:hAnsi="Times New Roman"/>
          <w:sz w:val="18"/>
          <w:szCs w:val="18"/>
          <w:color w:val="auto"/>
        </w:rPr>
        <w:t>Interest income and other, net reflects interest earned on our cash, cash equivalents and investment balances,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remeasurement adjustments, and other non-operating income and expenses.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Interest expense consists of interest on our short and long-term obligations, our credit facility, and amortization of debt issuance costs.</w:t>
      </w:r>
    </w:p>
    <w:p>
      <w:pPr>
        <w:spacing w:after="0" w:line="22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color w:val="auto"/>
        </w:rPr>
        <w:t xml:space="preserve">Provision for income taxes includes both domestic and foreign income taxes at the applicable tax rates adjusted for non-deductible expenses, research and development tax credits, global intangible low-taxed income, Subpart F income inclusions, and other permanent differences. See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to the Condensed Consolidated Financial Statements.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data as a percentage of revenues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3"/>
          </w:tcPr>
          <w:p>
            <w:pPr>
              <w:jc w:val="right"/>
              <w:ind w:right="459"/>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0" w:type="dxa"/>
            <w:vAlign w:val="bottom"/>
          </w:tcPr>
          <w:p>
            <w:pPr>
              <w:spacing w:after="0"/>
              <w:rPr>
                <w:sz w:val="1"/>
                <w:szCs w:val="1"/>
                <w:color w:val="auto"/>
              </w:rPr>
            </w:pPr>
          </w:p>
        </w:tc>
      </w:tr>
      <w:tr>
        <w:trPr>
          <w:trHeight w:val="190"/>
        </w:trPr>
        <w:tc>
          <w:tcPr>
            <w:tcW w:w="6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gridSpan w:val="2"/>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6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57"/>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50"/>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57"/>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63"/>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3"/>
        </w:trPr>
        <w:tc>
          <w:tcPr>
            <w:tcW w:w="6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57"/>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50"/>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7"/>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67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200" w:type="dxa"/>
            <w:vAlign w:val="bottom"/>
          </w:tcPr>
          <w:p>
            <w:pPr>
              <w:spacing w:after="0"/>
              <w:rPr>
                <w:sz w:val="13"/>
                <w:szCs w:val="13"/>
                <w:color w:val="auto"/>
              </w:rPr>
            </w:pPr>
          </w:p>
        </w:tc>
        <w:tc>
          <w:tcPr>
            <w:tcW w:w="112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60" w:type="dxa"/>
            <w:vAlign w:val="bottom"/>
            <w:gridSpan w:val="2"/>
          </w:tcPr>
          <w:p>
            <w:pPr>
              <w:jc w:val="right"/>
              <w:ind w:right="319"/>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7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&amp; Commercial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Home &amp; Life</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98.8 %</w:t>
            </w:r>
          </w:p>
        </w:tc>
        <w:tc>
          <w:tcPr>
            <w:tcW w:w="0" w:type="dxa"/>
            <w:vAlign w:val="bottom"/>
          </w:tcPr>
          <w:p>
            <w:pPr>
              <w:spacing w:after="0"/>
              <w:rPr>
                <w:sz w:val="1"/>
                <w:szCs w:val="1"/>
                <w:color w:val="auto"/>
              </w:rPr>
            </w:pPr>
          </w:p>
        </w:tc>
      </w:tr>
      <w:tr>
        <w:trPr>
          <w:trHeight w:val="257"/>
        </w:trPr>
        <w:tc>
          <w:tcPr>
            <w:tcW w:w="6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increase in revenues in the recent three-month period was due to increased revenues of $30.7 million from our Industrial &amp; Commercial products and increased revenues of $40.6 million from our Home &amp; Life products. Revenues increased in the recent three-month periods as a result of increases in unit volumes and average selling prices of our products. The average selling prices of our products may fluctuate significantly from period to period due to changes in product mix, pricing decisions and other factors. In general, as our products become more mature, we expect to experience decreases in average selling prices.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3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8"/>
        </w:trPr>
        <w:tc>
          <w:tcPr>
            <w:tcW w:w="32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center"/>
              <w:ind w:right="400"/>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26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
        </w:trPr>
        <w:tc>
          <w:tcPr>
            <w:tcW w:w="32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42.7</w:t>
            </w: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55.0 %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51.8 %</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918"/>
        </w:trPr>
        <w:tc>
          <w:tcPr>
            <w:tcW w:w="3260" w:type="dxa"/>
            <w:vAlign w:val="bottom"/>
          </w:tcPr>
          <w:p>
            <w:pPr>
              <w:spacing w:after="0"/>
              <w:rPr>
                <w:sz w:val="24"/>
                <w:szCs w:val="24"/>
                <w:color w:val="auto"/>
              </w:rPr>
            </w:pPr>
          </w:p>
        </w:tc>
        <w:tc>
          <w:tcPr>
            <w:tcW w:w="3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32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Gross profit increased during the recent three-month period primarily as a result of increases in revenues in the periods. Gross margin increased as our indirect and overhead expenses remained relatively constant but decreased as a percentage of revenues in the recent three-month period as a result of the increase in revenues.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experience variations in the average selling prices of certain of our products. Increases in average selling prices may occur during periods of increased demand, but such demand may be short-lived and could be accompanied by higher product costs. Declines in average selling prices create downward pressure on gross margin and may be offset to the extent we are able to introduce higher margin new products and gain market share with our products; reduce costs of existing products through improved design; achieve lower production costs from our wafer suppliers and third-party assembly and test subcontractors; achieve lower production costs per unit as a result of improved yields throughout the manufacturing process; or reduce logistics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58"/>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jc w:val="right"/>
              <w:ind w:right="322"/>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4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280" w:type="dxa"/>
            <w:vAlign w:val="bottom"/>
          </w:tcPr>
          <w:p>
            <w:pPr>
              <w:spacing w:after="0"/>
              <w:rPr>
                <w:sz w:val="21"/>
                <w:szCs w:val="21"/>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49.6 %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75.8 %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30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 the recent three-month period increased, with an increase of $12.1 million for personnel-related costs as a result of lower expenses in the prior year period due to cost containment measures, partially offset by $2.7 million of government incentives, and decreases for new product introduction and software expense and amortization of intangible assets of $1.0 million and $0.6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6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58"/>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ind w:left="40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6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23.8 %</w:t>
            </w:r>
          </w:p>
        </w:tc>
      </w:tr>
      <w:tr>
        <w:trPr>
          <w:trHeight w:val="243"/>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revenue</w:t>
            </w:r>
          </w:p>
        </w:tc>
        <w:tc>
          <w:tcPr>
            <w:tcW w:w="280" w:type="dxa"/>
            <w:vAlign w:val="bottom"/>
          </w:tcPr>
          <w:p>
            <w:pPr>
              <w:spacing w:after="0"/>
              <w:rPr>
                <w:sz w:val="21"/>
                <w:szCs w:val="21"/>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31.5 %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9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in the recent three-month period was primarily due to a $7.8 million increase in personnel-related costs as a result of lower expenses in the prior year period due to cost containment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Other, Net</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Interest income and other, net for the three months ended April 5, 2025 was $3.8 million compared to $2.7 million for the three months ended March 30, 2024. The increase in interest income and other, net in the recent three-month period was primarily due to a higher cash and cash equivalents balance in the current year period as compared to the prior year period as well as higher interest rates earned on the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April 5, 2025 was $0.3 million, compared to $0.5 million for the three months ended March 30, 2024. The decrease was primarily due to a balance outstanding on the revolving credit facility for a portion of the prior year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58"/>
        </w:trPr>
        <w:tc>
          <w:tcPr>
            <w:tcW w:w="7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4"/>
                <w:szCs w:val="14"/>
                <w:b w:val="1"/>
                <w:bCs w:val="1"/>
                <w:color w:val="auto"/>
              </w:rPr>
              <w:t>April 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9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7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306"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change in the provision for income taxes for the three months ended April 5, 2025 is primarily due to tax expense associated with the increase in the U.S. and Singapore valuation allowance in the three months ended April 5, 2025, whereas the valuation allowance had not yet been established in the three months ended March 30, 2024. Because of the valuation allowance, we are unable to recognize the full tax benefit of the pre-tax losses incurred in those jurisdictions in the current year. A valuation allowance is required to be established when it is more likely than not that some portion or all of a deferred tax asset will not be realized. We identified a need for the valuation allowance due to the presence of significant negative evidence, including recent operating losses and uncertainty around the timing of recovery in economic conditions within both the semiconductor industry and the broader economy. We intend to maintain the valuation allowance until our ability to forecast sufficient future sources of taxable income is reestablished.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as of April 5, 2025 consisted of $424.8 million in cash, cash equivalents and short-term investments, of which $204.1 million was held by our U.S. entities. The remaining balance was held by our foreign subsidiaries. Our cash equivalents and short-term investments consisted of government debt securities, which include U.S. government securities; corporate debt securities, which include asset-backed securities and corporate bonds; and money market funds.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$48.1 million during the three months ended April 5, 2025, compared to net cash used of $71.8 million during the three months ended March 30, 2024. Operating cash flows during the three months ended April 5, 2025 reflect our net loss of $30.5 million, adjustments of $29.9 million for depreciation, amortization, stock-based compensation, and deferred income taxes, and a net cash inflow of $48.7 million due to changes in our operating assets and liabilities.</w:t>
      </w:r>
    </w:p>
    <w:p>
      <w:pPr>
        <w:spacing w:after="0" w:line="180"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Accounts receivable decreased to $52.1 million at April 5, 2025 from $54.5 million at December 28, 2024. The decrease in accounts receivable resulted primarily from normal variations in the timing of collections and billings. Our DSO decreased to 26 days at April 5, 2025 from 29 days at December 28, 2024.</w:t>
      </w:r>
    </w:p>
    <w:p>
      <w:pPr>
        <w:spacing w:after="0" w:line="176"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Inventory decreased to $83.4 million at April 5, 2025 from $105.6 million at December 28, 2024. Our inventory levels will vary based on the availability of supply and the impact of variations between forecasted demand used for purchasing inventory and actual demand. Our DOI was 94 days at April 5, 2025 and 125 days at December 28,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300"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$3.9 million during the three months ended April 5, 2025, compared to net cash provided of $81.5 million during the three months ended March 30, 2024. The decrease in cash inflows was principally due to a decrease in cash provided by net purchases, sales, and maturities of marketable securities of $70.2 million in the current period, and proceeds received in the prior year of $12.4 million for the sale of an equity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$1.0 million during the three months ended April 5, 2025, compared to $45.7 million during the three months ended March 30, 2024. The decrease in cash outflows was principally due to a $45.0 million repayment of borrowings under the revolving credit facility in the prior year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of April 5, 2025, we had a $400 million revolving credit facility. We have an option to increase the size of the borrowing capacity of the revolving credit facility by up to the greater of an aggregate of $250 million and 100% of EBITDA, plus an amount that would not cause a secured net leverage ratio to exceed 3.50 to 1.00, subject to certain conditions. As of April 5, 2025, no amounts were outstanding on the revolving credit facility. We were granted a waiver of compliance for the minimum interest coverage ratio through October 4, 2025. In the event we are not able to achieve compliance by the end of the waiver period, we may need to obtain an additional waiver in order to access the revolving credit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27"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rate of sales growth, market acceptance of our products, the timing and extent of research and development projects, potential acquisitions of companies or technologies and the expansion of our sales and marketing activities. We believe our existing cash, cash equivalents, investments, credit under our credit facility, and cash generated from operations are sufficient to meet our short-term (i.e., over at least the next twelve months) and long-term capital requirements, although we could be required, or could elect, to seek additional funding prior to that time. We may enter into acquisitions or strategic arrangements in the future which also could require us to seek additional equity or debt financing.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critical accounting estimates are described in the Management’s Discussion and Analysis of Financial Condition and Results of Operations section of our Form 10-K for the fiscal year ended December 28, 2024. There have been no material subsequent changes to our critical accounting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Our investment portfolio includes cash, cash equivalents and short-term investments. Our main investment objective is the preservation of investment capital. Our interest income is sensitive to changes in the general level of U.S. interest rates. A 100 basis point decline in yield on our investment portfolio holdings as of April 5, 2025 would decrease our future annual interest income by approximately $3.4 million. We believe that our investment policy, which defines the duration, concentration, and minimum credit quality of the allowable investments, meets our investment objectives.</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interest rate fluctuations in the normal course of our business, including through our credit facility. The interest rate on the credit facility consists of a variable-rate of interest and an applicable margin. While we have drawn from the credit facility in the past, we have no borrowings as of April 5, 2025. If we borrow from the credit facility in the future, we will again be exposed to interest rate fluctuations.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exchange rate risk primarily through assets, liabilities and operating expenses of our subsidiaries denominated in currencies other than the U.S. dollar. Our foreign subsidiaries are considered to be extensions of the U.S. parent. The functional currency of the foreign subsidiaries is the U.S. dollar. Accordingly, gains and losses resulting from remeasuring transactions denominated in currencies other than U.S. dollars are recorded in the Condensed Consolidated Statements of Operations. We may use foreign currency forward contracts to manage exposure to foreign exchange risk. Gains and losses on foreign currency forward contracts are recognized in earnings in the same period during which the hedged transaction is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website address is www.silabs.com. Our annual report on Form 10-K, quarterly reports on Form 10-Q, current reports on Form 8-K and amendments to those reports filed or furnished pursuant to Section 13(a) or 15(d) of the Securities Exchange Act of 1934 are available through the investor relations page of our website free of charge as soon as reasonably</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practicable after we electronically file such material with, or furnish it to, the Securities and Exchange Commission (“SEC”). Our website and the information contained therein or connected thereto are not intended to be incorporated into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Information related to quantitative and qualitative disclosures regarding market risk is set forth in Management’s Discussion and Analysis of Financial Condition and Results of Operations under Item 2 above. Such information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performed an evaluation under the supervision and with the participation of our management, including our Chief Executive Officer (“CEO”) and Chief Financial Officer (“CFO”), of the effectiveness of our disclosure controls and procedures, as defined in Rule 13a-15(e) under the Securities Exchange Act of 1934 (the “Exchange Act”). Based on that evaluation, our management, including our CEO and CFO, concluded that our disclosure controls and procedures were effective as of April 5, 2025 to provide reasonable assurance that information required to be disclosed by us in the reports filed or submitted by us under the Exchange Act is recorded, processed, summarized and reported within the time periods specified in the SEC’s rules and forms. Such disclosure controls and procedures include controls and procedures designed to ensure that information required to be disclosed is accumulated and communicated to our management, including our CEO and CFO,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controls during the fiscal quarter ended April 5, 2025 that materially affected, or is reasonably likely to materially affect, our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Information regarding legal proceedings is provided in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information is incorporated by reference 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Business Risks</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could be materially and adversely affected by tariffs, trade restrictions, and other barriers to international trade</w:t>
      </w:r>
    </w:p>
    <w:p>
      <w:pPr>
        <w:spacing w:after="0" w:line="15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Restrictions on international trade, such as tariffs and other controls on imports or exports of goods and technology can adversely affect our business and supply chain. In response to U.S. tariffs, several countries have imposed or threatened reciprocal tariffs and other retaliatory measures. International trade restrictions may impact the cost and availability of raw materials, components, and finished goods, which could lead to supply chain disruptions, increased costs, and lower margins. The global trade situation is highly dynamic, and modifications to tariffs may occur, as may additional sector-based trade measures. For example, the U.S. Department of Commerce initiated an investigation into imports of semiconductors, semiconductor manufacturing equipment, and related products. The rapid and fluctuating changes in global trade policies have contributed to greater market volatility and general economic uncertainties, including the risk of recession, and could adversely affect customer demand, delay purchasing decisions, or limit our ability to operate efficiently in key markets. If we are unable to mitigate any negative impacts of tariffs, trade restrictions, or related market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volatility through pricing adjustments, operational efficiencies, or alternative sourcing strategies, our business, financial condition, and results of operations could be materially and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the cyclical nature of the semiconductor industry, which has been subject to significant fluctuations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and price erosion, evolving standards, short product life cycles and wide fluctuations in product supply and demand. The industry has experienced significant fluctuations, often connected with, or in anticipation of, maturing product cycles and new product introductions of both semiconductor companies’ and their customers’ products and fluctuations in general economic conditions. Deteriorating general worldwide economic conditions, including reduced economic activity, concerns about credit, interest rates and inflation, increased energy costs, decreased consumer confidence, reduced corporate profits, decreased spending and similar adverse business conditions, have in the past and may in the future make it very difficult for our customers, our vendors, and us to accurately forecast and plan future business activities and could cause U.S. and foreign businesses to slow spending on our products. Increases in inflation and interest rates can impact demand for our customers’ end products and increase our costs. If our costs become subject to significant inflationary pressures, we may not be able to fully offset such higher costs with increased revenues. We cannot predict the timing, strength, or duration of any economic slowdown or economic recovery. If the economy or markets in which we operate deteriorate, our business, financial condition, and results of operations would likely be materially and adversely affected.</w:t>
      </w:r>
    </w:p>
    <w:p>
      <w:pPr>
        <w:spacing w:after="0" w:line="19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Downturns have been characterized by diminished product demand, production overcapacity, high inventory levels and accelerated erosion of average selling prices. Upturns have been characterized by increased product demand and production capacity constraints created by increased competition for access to third-party foundry, assembly and test capacity. We are dependent on the availability of such capacity to manufacture, assemble and test our products. None of our third-party foundry, assembly or test subcontractors have provided assurances that adequate capacity will be available to us. We believe the semiconductor industry recently suffered a downturn due in large part to adverse macroeconomic conditions, characterized by a slowdown in overall GDP performance and factory activity in certain regions, higher levels of customer inventory, the impact of tariffs on trade relations, and greater overall uncertainty regarding the economy. This downturn has negatively affected, and may continue to have an adverse effect on, our business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within the numerous markets we target may reduce sales of our products and reduce our market share</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markets for semiconductors in general, and for mixed-signal products in particular, are intensely competitive. We expect that the market for our products will continually evolve and will be subject to rapid technological change. For example, new products and disruptive technologies are being developed, and companies with which we compete have implemented artificial intelligence (“AI”) strategies for products and service offerings. This rapid pace of technological change can create opportunities for our competitors and harm our competitiveness in the market if our products do not evolve or we are unable to effectively keep up with such changes. In addition, as we target and supply products to numerous markets and applications, we face competition from a relatively large number of competitors. We compete with Broadcom, Espressif, Infineon, MediaTek, Microchip, Nordic Semiconductor, NXP, Qualcomm, Renesas, STMicroelectronics, Synaptics, Telink, Texas Instruments and others. We expect to face competition in the future from our current competitors, other manufacturers and designers of semiconductors, and start-up semiconductor design companies. As the markets for communications products grow, we also may face competition from traditional communications device companies. These companies may enter the mixed-signal semiconductor market by introducing their own products or by entering into strategic relationships with or acquiring other existing providers of semiconductor products. In addition, large companies may restructure their operations to create separate companies or may acquire new businesses that are focused on providing the types of products we produce or acquire our customers.</w:t>
      </w:r>
    </w:p>
    <w:p>
      <w:pPr>
        <w:spacing w:after="0" w:line="18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We may be the victim of business disruptions and security breaches, including cyber-attacks, which could lead to liability or could damage our reputation and financial results</w:t>
      </w:r>
    </w:p>
    <w:p>
      <w:pPr>
        <w:spacing w:after="0" w:line="15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Information technology system and/or network disruptions, regardless of the cause, but including acts of sabotage, error, or other actions, could harm our operations. Failure to effectively prevent, detect, and recover from security breaches, including cyber-attacks, could result in the misuse of company assets, disruption to the company, diversion of management resources, regulatory inquiries, legal claims or proceedings, reputational damage, loss of sales and other costs to the company. We routinely face attacks that attempt to breach our security protocols, gain access to or disrupt our computerized systems or steal proprietary company, customer, partner or employee information. These attacks are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sometimes successful. These attacks may be due to security breaches, employee error, theft, malfeasance, phishing schemes, ransomware, faulty password or data security management, or other irregularities. Additionally, we use AI-driven efficiencies in our software development and customer support services. Our use of AI may increase vulnerability to cybersecurity risks, including through unauthorized use or misuse of AI tools and bad inputs or logic or the introduction of malicious code incorporated into AI generated code. AI and machine learning also may be used for certain cybersecurity attacks, improving or expanding the existing capabilities of threat actors in manners we cannot predict at this time, resulting in greater risks of security incidents and breaches. The theft, loss, destruction, unavailability or misuse of personal or business data collected, used, stored or transferred by us to run our business could result in increased security costs or costs related to defending legal claims. Industrial espionage, theft or loss of our intellectual property data could lead to counterfeit products or harm the competitive position of our products and services. Costs to implement, test and maintain measures to promote compliance with applicable privacy and data security laws as well as to protect the overall security of our system have been and are expected to continue to be significant. While we have dedicated resources to privacy and security incident response capabilities, our response process may not be adequate, may fail to accurately assess the severity of an incident, may not be fast enough to prevent or limit harm, or may fail to sufficiently remediate an incident. Attempted or successful attacks against our products and services could damage our reputation with customers or users and reduce demand for our products and services.</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Additionally, there is an increased risk that we may experience cybersecurity-related events such as phishing attacks and other security challenges as a result of hybrid working arrangements and employees and our service providers working remotely.</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addition, the risk of cyber-attacks has increased in connection with the conflicts between Russia and Ukraine and in the Middle East. In light of those and other geopolitical events, nation-state actors or their supporters may launch retaliatory cyber-attacks, and may attempt to cause supply chain and other third-party service provider disruptions, or take other geopolitically motivated retaliatory actions that may disrupt our business operations, result in data compromise, or both. Nation-state actors have in the past carried out, and may in the future carry out, cyber-attacks to achieve their aims and goals, which may include espionage, information operations, monetary gain, ransomware, disruption, and destruction. In 2022, the U.S. Cybersecurity and Infrastructure Security Agency issued a “Shields Up” alert for American organizations noting the potential for Russia’s cyber-attacks on Ukrainian government and critical infrastructure organizations to impact organizations both within and beyond the United States, particularly in the wake of sanctions imposed by the United States and its allies. These circumstances increase the likelihood of cyber-attacks and/or security breaches.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information technology failures that could damage our reputation, business operations and financial condition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rely on information technology for the effective operation of our business. Our systems are subject to damage or interruption from a number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sources, including natural disasters, accidents, power disruptions, telecommunications failures, acts of terrorism or war, computer viruses, theft,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physical or electronic break-ins, cyber-attacks, sabotage, vandalism, or similar events or disruptions, including those described in the risk factor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 may be the victim of business disruptions and security breaches, including cyber-attacks, which could lead to liability or could damage our reputation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financial results</w:t>
      </w:r>
      <w:r>
        <w:rPr>
          <w:rFonts w:ascii="Times New Roman" w:cs="Times New Roman" w:eastAsia="Times New Roman" w:hAnsi="Times New Roman"/>
          <w:sz w:val="18"/>
          <w:szCs w:val="18"/>
          <w:color w:val="auto"/>
        </w:rPr>
        <w:t>,” above. Our security measures may not detect or prevent such security breaches. Any such compromise of our information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result in the theft or unauthorized publication or use of our confidential business or proprietary information, result in the unauthorized release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supplier or employee data, result in a violation of privacy or other laws, expose us to a risk of litigation or damage our reputation. In addition,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inability to use or access information systems at critical points in time could unfavorably impact the timely and efficient operation of our business,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negatively affect our business and operating results.</w:t>
      </w:r>
    </w:p>
    <w:p>
      <w:pPr>
        <w:spacing w:after="0" w:line="207"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Third parties with which we conduct business, such as foundries, assembly and test contractors, distributors and customers, have access to certain portions of our sensitive data. In the event that these third parties do not properly safeguard our data that they hold, security breaches could result and negatively impact our reputation, business operations and financial results. Additionally, a successful cyber-attack against one of these third parties’ information technology systems may disrupt our supply chain.</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have limited resources compared to some of our current and potential competitors and we may not be able to compete effectively and increase market share</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Some of our current and potential competitors have longer operating histories, significantly greater resources and name recognition and a larger base of customers than we have. As a result, these competitors may have greater credibility with</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existing and potential customers. They also may be able to adopt more aggressive pricing policies and devote greater resources to the development, promotion and sale of their products than we can to ours. In addition, some of our current and potential competitors have already established supplier or joint development relationships with the decision makers at our current or potential customers. These competitors may be able to leverage their existing relationships to discourage their customers from purchasing products from us or persuade them to replace our products with their products. Our competitors may also offer bundled solutions offering a more complete product despite the technical merits or advantages of our products. These competitors may elect not to support our products which could complicate our sales efforts. We also face increased competition as a result of China actively promoting its domestic semiconductor industry through policy changes and investment. These actions, as well as China-U.S. trade barriers, may restrict our participation in the China market or may prevent us from competing effectively with Chinese companies or companies from other countries that China favors over the United States. See the risk factor entitled “</w:t>
      </w:r>
      <w:r>
        <w:rPr>
          <w:rFonts w:ascii="Times New Roman" w:cs="Times New Roman" w:eastAsia="Times New Roman" w:hAnsi="Times New Roman"/>
          <w:sz w:val="18"/>
          <w:szCs w:val="18"/>
          <w:i w:val="1"/>
          <w:iCs w:val="1"/>
          <w:color w:val="auto"/>
        </w:rPr>
        <w:t>Our business, financial condition, and results of operations could be materially and adversely affected by tariffs,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trade restrictions, and other barriers to international trade</w:t>
      </w:r>
      <w:r>
        <w:rPr>
          <w:rFonts w:ascii="Times New Roman" w:cs="Times New Roman" w:eastAsia="Times New Roman" w:hAnsi="Times New Roman"/>
          <w:sz w:val="18"/>
          <w:szCs w:val="18"/>
          <w:color w:val="auto"/>
        </w:rPr>
        <w:t>”. Furthermore, our current or potential competitors may be acquired by third parties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greater available resources and the ability to initiate or withstand substantial price competition, which may include price concessions, delayed payment terms, financing terms, or other terms and conditions that are more enticing to potential customers. These and other competitive pressures may prevent us from competing successfully against current or future competitors, and may materially harm our business. Competition could decrease our prices, reduce our sales, lower our gross profit and/or decrease our market share.</w:t>
      </w:r>
    </w:p>
    <w:p>
      <w:pPr>
        <w:spacing w:after="0" w:line="19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governments around the world may provide incentives or make other investments that could benefit and give competitive advantages to our competitors. For example, in August 2022, the CHIPS and Science Act of 2022 (“CHIPS Act”) was signed into law to provide financial incentives to the U.S. semiconductor industry. Government incentives, including any that may be offered in connection with the CHIPS Act, may not be available to us on acceptable terms or at all, and to the extent that the incoming administration modifies or repeals the CHIPS Act, the availability of any such incentives may be even less certain. If our competitors can benefit from such government incentives and we cannot, it could strengthen our competitors’ relative position and have a material adverse effect on our reputation and business.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maintain our historical growth and may experience significant period-to-period fluctuations in our revenues and operating results, which may result in volatility in our stock price</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Although we have generally experienced revenue growth in our history, we may not be able to sustain this growth. We may also experience significant period-to-period fluctuations in our revenues and operating results in the future due to a number of factors, and any such variations may cause our stock price to fluctuate. If our revenues or operating results are below the expectations of public market analysts or investors, our stock price may drop, perhaps significantly.</w:t>
      </w:r>
    </w:p>
    <w:p>
      <w:pPr>
        <w:spacing w:after="0" w:line="18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 number of factors, in addition to those cited in other risk factors applicable to our business, may contribute to fluctuations in our revenues and operating results, including:</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orders received from our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of our new product introductions and the rate at which our new products may cannibalize our older products;</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acceptance of our products by our customers, including the acceptance of new products we may develop for integration in the products manufactured by such customers, which we refer to as “design wins”;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lag and realization rate between “design wins” and production orders;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capacity constraints;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life cycles of, the products incorporating our mixed-signal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mixed-signal products in the markets we target;</w:t>
      </w:r>
    </w:p>
    <w:p>
      <w:pPr>
        <w:spacing w:after="0" w:line="9"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Deferrals or reductions of customer orders in anticipation of new products or product enhancements from us or our competitors or other providers of mixed-signal ICs;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mix;</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for our products could drop suddenly due to competitive offerings or competitive predatory pricing;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for our products generally decline over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currency exchange rates and any requirements for buying and/or selling in currencies other than the U.S. dollar;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to inventory, equipment or other long-lived assets;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software used in our products, including software provided by third parties, may not meet the needs of our customers;</w:t>
      </w:r>
    </w:p>
    <w:p>
      <w:pPr>
        <w:spacing w:after="0" w:line="27"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not be able to obtain other components such as capacitors that they need to incorporate in conjunction with our products, leading to potential downturn in the demand for our products;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costs to defend our intellectual property rights or respond to claims against us; and</w:t>
      </w:r>
    </w:p>
    <w:p>
      <w:pPr>
        <w:spacing w:after="0" w:line="9" w:lineRule="exact"/>
        <w:rPr>
          <w:rFonts w:ascii="Times New Roman" w:cs="Times New Roman" w:eastAsia="Times New Roman" w:hAnsi="Times New Roman"/>
          <w:sz w:val="18"/>
          <w:szCs w:val="18"/>
          <w:color w:val="auto"/>
        </w:rPr>
      </w:pPr>
    </w:p>
    <w:p>
      <w:pPr>
        <w:ind w:left="660" w:right="48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new markets emerge for products we are currently developing or for which our design expertise can be utilized to develop products for these new markets.</w:t>
      </w:r>
    </w:p>
    <w:p>
      <w:pPr>
        <w:spacing w:after="0" w:line="18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markets for consumer electronics, for example, are characterized by rapid fluctuations in demand and seasonality that result in corresponding fluctuations in the demand for our products that are incorporated in such devices. Additionally, the rate of technology acceptance by our customers results in fluctuating demand for our products as customers are reluctant to incorporate a new IC into their products until the new IC has achieved market acceptance. Once a new IC achieves market acceptance, demand for the new IC can quickly accelerate to a point and then level off such that rapid historical growth in sales of a product should not be viewed as indicative of continued future growth. In addition, demand can quickly decline for a product when a new IC product is introduced and receives market acceptance. Due to the various factors mentioned above, the results of any prior quarterly or annual periods should not be relied upon as an indication of our future operating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third parties to manufacture, assemble and test our products, which subjects us to risks of disruptions in our supply chain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do not have our own wafer fab manufacturing facilities. Therefore, we rely on third-party vendors to manufacture the products we design. We also currently rely on third-party assembly subcontractors in Asia to assemble and package the silicon chips provided by the wafers for use in final products. Additionally, we rely on these offshore subcontractors for a substantial portion of the testing requirements of our products prior to shipping. We expect utilization of third-party subcontractors to continue in the future.</w:t>
      </w:r>
    </w:p>
    <w:p>
      <w:pPr>
        <w:spacing w:after="0" w:line="180"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cyclical nature of the semiconductor industry drives wide fluctuations in available capacity at third-party vendors. On occasion, we have been unable to adequately respond to unexpected increases in customer demand due to capacity constraints and, therefore, were unable to benefit from this incremental demand. We may be unable to obtain adequate foundry, assembly or test capacity from our third-party subcontractors to meet our customers’ delivery requirements even if we adequately forecast customer demand.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significant risks associated with relying on these third-party foundries and subcontractors, including:</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customers or their end customers to qualify a selected supplier;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suppliers’ operations due to geopolitical changes, including risks related to deteriorating relations between China and Taiwan;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insolvency of the third-party subcontractors;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and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or payments in advance for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need for international-based supply, logistics and financial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supply chain resulting from cyber-attacks on our suppliers’ information technology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inability to supply or support new or changing packaging technologies;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test yields.</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typically do not have long-term supply contracts with our third-party vendors which obligate the vendor to perform services and supply products to us for a specific period, in specific quantities, and at specific prices. Our third-party foundry, assembly and test subcontractors typically do not guarantee that adequate capacity will be available to us within the time required to meet demand for our products. In the event that these vendors fail to meet our demand for whatever reason, we expect that it would take up to 12 months to transition performance of these services to new providers. Such a transition may also require qualification of the new providers by our customers or their end customers.</w:t>
      </w:r>
    </w:p>
    <w:p>
      <w:pPr>
        <w:spacing w:after="0" w:line="18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If our suppliers experience closures or reductions in their capacity utilization levels in the future, we may have difficulty sourcing materials necessary to fulfill production requirements. Public health crises, such as the COVID-19 pandemic, may affect our suppliers’ production capabilities as a result of quarantines, closures of production facilities, lack of supplies or delays caused by restrictions on travel.</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Most of the silicon wafers for the products that we have sold were manufactured either by Taiwan Semiconductor Manufacturing Co. (“TSMC”) or Semiconductor Manufacturing International Corporation (“SMIC”). Our customers typically complete their own qualification process. If we fail to properly balance customer demand across the existing semiconductor fabrication facilities that we utilize or are required by our foundry partners to increase, or otherwise change the number of fab lines that we utilize for our production, we might not be able to fulfill demand for our products and may need to divert our engineering resources away from new product development initiatives to support the fab line transition, which would adversely affect our operating results. In addition, geopolitical changes in China-Taiwan relations could disrupt TSMC’s operations and impact our third-party assembly subcontractors in Asia. Such a disruption could severely impact our ability to manufacture the majority of our products and as a result, could adversely affect our business, revenues and results of operations.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Most of our current manufacturers, assemblers, test service providers, distributors and customers are concentrated in the same geographic region, which increases the risk that a natural disaster, epidemic, labor strike, war or political unrest could disrupt our operations or sales</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Most of our foundries and several of our assembly and test subcontractors’ sites are located in Taiwan and most of our other foundry, assembly and test subcontractors are located in the Pacific Rim region. In addition, many of our customers are located in the Pacific Rim region. The risk of earthquakes in Taiwan and the Pacific Rim region is significant due to the proximity of major earthquake fault lines in the area. Earthquakes, tsunamis, fire, flooding, lack of water or other natural disasters, an epidemic such as the COVID-19 outbreak, political unrest, war, labor strikes or work stoppages in countries where our semiconductor manufacturers, assemblers and test subcontractors are located, likely would result in the disruption of our foundry, assembly or test capacity. There can be no assurance that alternate capacity could be obtained on favorable terms, if at all.</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 natural disaster, epidemic, labor strike, war or political unrest where our customers’ facilities are located would likely reduce our sales to such customers. In addition, a significant portion of the assembly and testing of our products occurs in South Korea. Any disruption resulting from these events, could also cause significant delays in shipments of our products until we are able to shift our manufacturing, assembling or testing from the affected subcontractor to another third-party vendor. If such an event significantly disrupts the manufacture, shipment and sales of our products or the products of our customers, this may materially negatively impact our operating results. For example, if travel restrictions or business shutdowns or slowdowns occur for an extended period of time in Taiwan, South Korea or the other countries in which our current manufacturers, assemblers, test service providers, distributors and customers are located, we may experience delays in product production, a decreased ability to support our customers, reduced design win activity, and overall lack of productivity. Our customers may also experience closures of their manufacturing facilities or inability to obtain other components, either of which could negatively impact demand for our solutions.</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We are a global company, which subjects us to additional business risks including logistical and financial complexity, supply disruption, political instability and currency fluctuations</w:t>
      </w:r>
    </w:p>
    <w:p>
      <w:pPr>
        <w:spacing w:after="0" w:line="15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We have established international subsidiaries and have opened offices in international markets to support our activities in Asia, the Americas and Europe. This has included the establishment of a headquarters in Singapore for non-U.S. operations. During the three months ended April 5, 2025, the percentage of our revenues derived from outside of the United States was 91% (and the revenue associated with end customers in China was 13%, and revenue attributed to China based on shipped-to location was 33%). We may not be able to maintain or increase global market demand for our products. Our international operations are subject to a number of risks, including:</w:t>
      </w:r>
    </w:p>
    <w:p>
      <w:pPr>
        <w:spacing w:after="0" w:line="183" w:lineRule="exact"/>
        <w:rPr>
          <w:sz w:val="20"/>
          <w:szCs w:val="20"/>
          <w:color w:val="auto"/>
        </w:rPr>
      </w:pPr>
    </w:p>
    <w:p>
      <w:pPr>
        <w:ind w:left="660" w:right="44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costs of managing international operations and related tax obligations, including our headquarters for non-U.S. operations in Singapore;</w:t>
      </w:r>
    </w:p>
    <w:p>
      <w:pPr>
        <w:ind w:left="660" w:right="4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including trade restrictions, tariffs, export controls, quotas and other trade barriers, including China-U.S. trade policies;</w:t>
      </w:r>
    </w:p>
    <w:p>
      <w:pPr>
        <w:ind w:left="660" w:right="1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tensions, geopolitical uncertainty, or governmental actions, including those arising from the trade dispute between the U.S. and China, may lead customers to favor products from non-US companies which could put us at a competitive disadvantage and result in decreased customer demand for our products and our customers’ products;</w:t>
      </w:r>
    </w:p>
    <w:p>
      <w:pPr>
        <w:spacing w:after="0" w:line="1" w:lineRule="exact"/>
        <w:rPr>
          <w:rFonts w:ascii="Times New Roman" w:cs="Times New Roman" w:eastAsia="Times New Roman" w:hAnsi="Times New Roman"/>
          <w:sz w:val="18"/>
          <w:szCs w:val="18"/>
          <w:color w:val="auto"/>
        </w:rPr>
      </w:pPr>
    </w:p>
    <w:p>
      <w:pPr>
        <w:ind w:left="660" w:right="24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tensions and deteriorating military, political and economic relations between China and Taiwan could disrupt the operations of our third-party foundry, assembly and test subcontractors, which could severely impact our ability to manufacture the majority of our products and as a result, could adversely affect our business, revenues and results of operations;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2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tariffs imposed on certain countries and sanctions or export controls imposed on customers or suppliers may affect our ability to sell and source our products;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related to the protection of our intellectual property rights in some countries;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affect our international operations, suppliers and customers and we may experience delays in product development, a decreased ability to support our customers and reduced design win activity if the travel restrictions or business shutdowns or slowdowns continue for an extended period of time in any of the countries in which we, our suppliers and our customers operate and do business;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tax and other laws and regulations that may impact both our international and domestic tax and other liabilities and result in increased complexity and costs, including the impact of the Tax Cuts and Jobs Act, which increased our effective tax rate, in part due to the impact of the requirement to capitalize and amortize foreign research and development expenses beginning in 2022;</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 and longer collection periods;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distributor inventory subject to price protection and rights of return to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demand and the supply chain may be adversely affected by military conflict (including the ongoing conflicts in the Middle East and between Russia and Ukraine), terrorism, sanctions or other geopolitical events globally;</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hiring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have business and operations systems that can meet the needs of our international business and operating structure.</w:t>
      </w:r>
    </w:p>
    <w:p>
      <w:pPr>
        <w:spacing w:after="0" w:line="20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To date, substantially all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Similarly, a decrease in the value of the U.S. dollar, such as has occurred since the beginning of 2025, may reduce our buying power with respect to international suppliers. However, we may be required to buy or sell in other currencies as a result of changes in industry standards. Operating or transacting in currencies other than the U.S. dollar may result in enhanced volatility in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manage growth could materially and adversely affect our business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past growth has placed, and any future growth of our operations will continue to place, a significant strain on our management personnel, systems and resources. We anticipate that we will need to implement a variety of new and upgraded sales, operational and financial enterprise-wide systems, information technology infrastructure, procedures and controls, including the improvement of our accounting and other internal management systems to manage this growth and maintain compliance with regulatory guidelines, including Sarbanes-Oxley Act requirements. To the extent our business grows, our internal management systems and processes will need to improve to ensure that we remain in compliance. We also expect that we will need to continue to expand, train, manage and motivate our workforce. All of these endeavors will require substantial management effort, and we anticipate that we will require additional management personnel and internal processes to manage these efforts and to plan for the succession from time to time of certain persons who have been key management and technical personnel. If we are unable to effectively manage our expanding global operations, including our international headquarters in Singapore, our business could be materially and adversely affected.</w:t>
      </w:r>
    </w:p>
    <w:p>
      <w:pPr>
        <w:spacing w:after="0" w:line="184"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Our research and development efforts are focused on a limited number of new technologies and products, and any delay in the development, or abandonment, of these technologies or products by industry participants, or their failure to achieve market acceptance, could compromise our competitive position</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products serve as components and solutions in electronic devices in various markets. As a result, we have devoted and expect to continue to devote a large amount of resources to develop products based on new and emerging technologies and standards that will be commercially introduced in the future. Research and development expense during the three months ended April 5, 2025 was $88.2 million, or 49.6% of revenues. A number of companies are actively involved in the development of these new technologies and standards. Should any of these companies delay or abandon their efforts to develop commercially available products based on new technologies and standards, our research and development efforts with respect to these technologies and standards likely would have no appreciable value. In addition, if we do not correctly anticipate new technologies and standards, or if the products that we develop based on these new technologies and standards fail to achieve market acceptance, our competitors may be better able to address market demand than we would. Furthermore, if markets for these new technologies and standards develop later than we anticipate, or do not develop at all,</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for our products that are currently in development would suffer, resulting in lower sales of these products than we currently anticipate.</w:t>
      </w:r>
    </w:p>
    <w:p>
      <w:pPr>
        <w:spacing w:after="0" w:line="22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to manage our business effectively in a rapidly changing market, and if we are unable to retain our current personnel and hire additional personnel, our ability to develop and successfully market our products could be harmed</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believe our future success will depend in large part upon our ability to attract and retain highly skilled managerial, engineering, sales and marketing personnel. We believe that our future success will be dependent on retaining the services of our key personnel, developing their successors and certain internal processes to reduce our reliance on specific individuals, and on properly managing the transition of key roles when they occur. Competition for qualified personnel with significant experience in the design, development, manufacturing, marketing and sales of analog and mixed-signal products has been, and continues to be, intense. Our key technical personnel represent a significant asset and serve as the primary source for our technological and product innovations. We may not be successful in attracting and retaining sufficient numbers of technical personnel to support our anticipated growth. The loss of any of our key employees or the inability to attract or retain qualified personnel both in the United States and internationally, including engineers, sales, applications and marketing personnel, could delay the development and introduction of, and negatively impact our ability to sell, our products.</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develop or acquire new and enhanced products that achieve market acceptance in a timely manner, our operating results and competitive position could be harmed</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will depend on our ability to develop or acquire new products and product enhancements that achieve market acceptance in a timely and cost-effective manner. The development of mixed-signal ICs is highly complex, and we have at times experienced delays in completing the development and introduction of new products and product enhancements. Successful product development and market acceptance of our products depend on a number of factors, including:</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customers;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prediction of market and technical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and introduction of new designs;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qualification and certification of our products for use in our customers’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and volume production of the products into which our ICs will be incorporated;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foundry, assembly and test capacity;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high manufacturing yields;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price, performance, power use and size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quality, price and performance of competing products and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 service, application support capabilities and responsiveness;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our relationships with existing and potential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industry standards or end-user preferences;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third-party software providers and our semiconductor vendors to support our chips within a system.</w:t>
      </w:r>
    </w:p>
    <w:p>
      <w:pPr>
        <w:spacing w:after="0" w:line="20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cannot provide any assurance that products which we recently have developed or may develop in the future will achieve market acceptance. We have introduced to market or are in development of many products. If our products fail to achieve market acceptance, or if we fail to develop new products on a timely basis that achieve market acceptance, our growth prospects, operating results and competitive position could be adversely affected. The growth of the IoT market is dependent on the adoption of industry standards to permit devices to connect and communicate with each other. If the industry cannot agree on a common set of standards, then the growth of the IoT market may be slower than expected.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we make could disrupt our business and harm our financial condition</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As part of our growth and product diversification strategy, we continue to evaluate opportunities to acquire other businesses, intellectual property or technologies that would complement our current offerings, expand the breadth of our markets or enhance our technical capabilities. The acquisitions that we may make in the future entail a number of risks that could materially and adversely affect our business and operating results, including:</w:t>
      </w:r>
    </w:p>
    <w:p>
      <w:pPr>
        <w:spacing w:after="0" w:line="176" w:lineRule="exact"/>
        <w:rPr>
          <w:sz w:val="20"/>
          <w:szCs w:val="20"/>
          <w:color w:val="auto"/>
        </w:rPr>
      </w:pPr>
    </w:p>
    <w:p>
      <w:pPr>
        <w:ind w:left="5540" w:right="2560" w:hanging="5208"/>
        <w:spacing w:after="0" w:line="970"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integrating the acquired operations, technologies or products with our existing business and products;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our core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financial resources above our planned investment levels;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business relationships with suppliers and customers of the acquired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lack prior experience;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transfer of licenses of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costs due to acquired overhead;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associated with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disputes, including disputes over earn-outs and escrows;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the acquired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related goodwill and intangible assets.</w:t>
      </w:r>
    </w:p>
    <w:p>
      <w:pPr>
        <w:spacing w:after="0" w:line="20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Future acquisitions also could cause us to incur debt or contingent liabilities or cause us to issue equity securities that could negatively impact the ownership percentages of existing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average selling prices of our products could decrease rapidly which may negatively impact our revenues and gross profit</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may experience substantial period-to-period fluctuations in future operating results due to the erosion of our average selling prices. In the past, we have reduced the average unit price of our products in anticipation of or in response to competitive pricing pressures, new product introductions by us or our competitors and other factors. If we are unable to offset any such reductions in our average selling prices by increasing our sales volumes, increasing our sales content per application or reducing production costs, our gross profit and revenues will suffer. To maintain our gross profit, we will need to develop and introduce new products and product enhancements on a timely basis and continually reduce our costs. Our failure to do so could cause our revenues and gross profit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manage our distribution channel relationships could impede our future growth</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future growth of our business will depend in large part on our ability to manage our relationships with current and future distributors and sales representatives, develop additional channels for the distribution and sale of our products and manage these relationships. During the three months ended April 5, 2025, 66% of our revenue was derived from distributors (and 45% of our revenue was derived from our two largest distributors). As we execute our indirect sales strategy, we must manage the potential conflicts that may arise with our direct sales efforts. For example, conflicts with a distributor may arise when a customer begins purchasing directly from us rather than through the distributor. The inability to successfully execute or manage a multi-channel sales strategy could impede our future growth. In addition, relationships with our distributors often involve the use of price protection and inventory return rights. This often requires a significant amount of sales management’s time and system resources to manage properly.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have long-term commitments from our customers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customers regularly evaluate alternative sources of supply in order to diversify their supplier base, which increases their negotiating leverage with us and protects their ability to secure these components. We believe that any expansion of our customers’ supplier bases could have an adverse effect on the prices we are able to charge and volume of product that we are able to sell to our customers, which would negatively affect our revenues and operating results.</w:t>
      </w:r>
    </w:p>
    <w:p>
      <w:pPr>
        <w:spacing w:after="0" w:line="180"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Customers may decide not to purchase our products at all, purchase fewer products than they did in the past, or alter their purchasing patterns, particularly because:</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material long-term purchase contracts with our customers;</w:t>
      </w:r>
    </w:p>
    <w:p>
      <w:pPr>
        <w:spacing w:after="0" w:line="27"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sales to date have been made on a purchase order basis, which permits our customers to cancel, change or delay product purchase commitments with little or no notice to us and without penalty;</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may have efforts underway to actively diversify their vendor base which could reduce purchases of our products; and</w:t>
      </w:r>
    </w:p>
    <w:p>
      <w:pPr>
        <w:spacing w:after="0" w:line="9" w:lineRule="exact"/>
        <w:rPr>
          <w:rFonts w:ascii="Times New Roman" w:cs="Times New Roman" w:eastAsia="Times New Roman" w:hAnsi="Times New Roman"/>
          <w:sz w:val="18"/>
          <w:szCs w:val="18"/>
          <w:color w:val="auto"/>
        </w:rPr>
      </w:pPr>
    </w:p>
    <w:p>
      <w:pPr>
        <w:ind w:left="660" w:right="18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customers have developed or acquired products that compete directly with products these customers purchase from us, which could affect our customers’ purchasing decisions in the future.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increased inventory risks and costs because we build our products based on forecasts provided by customers before receiving purchase orders for the products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order to ensure availability of our products for some of our largest customers, we start the manufacturing of our products in advance of receiving purchase orders based on forecasts provided by these customers. However, these forecasts do not represent binding purchase commitments and we do not recognize sales for these products until they are shipped to the customer. As a result, we incur inventory and manufacturing costs in advance of anticipated sales. Because demand for our products may not materialize, manufacturing based on forecasts subjects us to increased risks of high inventory carrying costs, increased obsolescence and increased operating costs. These inventory risks are exacerbated when our customers purchase indirectly through contract manufacturers or hold component inventory levels greater than their consumption rate because this causes us to have less visibility regarding the accumulated levels of inventory for such customers. A resulting write-off of unusable or excess inventories would adversely affect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health crises could adversely affect our business, results of operations, and financial condition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COVID-19 pandemic negatively impacted the global economy, disrupted our operations, global supply chains and the operations of our customers.</w:t>
      </w:r>
    </w:p>
    <w:p>
      <w:pPr>
        <w:spacing w:after="0" w:line="23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impacts of any future public health crises on our business, customers, suppliers, employees, markets and financial results and condition are uncertain and dependent on numerous unpredictable factors outside of our control, including: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impact of a global economic recession or depression that could reduce demand and/or pricing for our products;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business and supply chain (and the business and supply chains of our customers) in connection with the sourcing of materials, equipment and engineering support, and services from geographic areas impacted by the public health crisis, including disruptions caused by illnesses, quarantines and restrictions on people’s ability to work, office and factory closures, disruptions to ports and other shipping infrastructure, border closures, and other travel or health-related restrictions;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limitations on the ability of our customers to make timely payments;</w:t>
      </w:r>
    </w:p>
    <w:p>
      <w:pPr>
        <w:spacing w:after="0" w:line="9" w:lineRule="exact"/>
        <w:rPr>
          <w:rFonts w:ascii="Times New Roman" w:cs="Times New Roman" w:eastAsia="Times New Roman" w:hAnsi="Times New Roman"/>
          <w:sz w:val="18"/>
          <w:szCs w:val="18"/>
          <w:color w:val="auto"/>
        </w:rPr>
      </w:pPr>
    </w:p>
    <w:p>
      <w:pPr>
        <w:ind w:left="660" w:right="7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actions to limit exposure to and spreading of such infectious diseases, such as travel restrictions, quarantines and business shutdowns or slowdowns, facility closures or other restrictions;</w:t>
      </w:r>
    </w:p>
    <w:p>
      <w:pPr>
        <w:ind w:left="660" w:right="14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worldwide credit and financial markets that could limit our ability to obtain external financing to fund our operations and capital expenditures or to refinance our existing indebtedness;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asset impairments, including goodwill, intangible assets, investments and other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cyber-related risks due to hybrid working models and increased remote working;</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implementing and managing a hybrid model of working from home or the office, establishing appropriate office safety protocols, maintaining our corporate culture, and continuing to attract, retain and motivate our employees;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of our computer systems or communication systems;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Investment-related risks, including difficulties in liquidating investments due to current market conditions and adverse investment performance.</w:t>
      </w:r>
    </w:p>
    <w:p>
      <w:pPr>
        <w:spacing w:after="0" w:line="207"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any decrease in sales resulting from any public health crisis will be offset by increased sales in subsequent periods. Even after any public health crisis has subsided, we may continue to experience materially adverse impacts to our business as a result of its global economic impact, including any recession, economic downturn or increased unemployment that has occurred or may occur in the future. An extended period of global supply chain and economic disruption could materially affect our business, results of operations, access to sources of liquidity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are complex and may contain errors which could lead to liability, an increase in our costs and/or a reduction in our revenues</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Our products are complex and may contain errors, particularly when first introduced and/or when new versions are released. Our products are increasingly designed in more complex processes, including higher levels of software and hardware integration in modules and system-level solutions and/or include elements provided by third parties which further increase the risk of errors. We rely primarily on our in-house testing personnel to design test operations and procedures to detect any errors or vulnerabilities prior to delivery of our products to our customers.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Additionally, we have used and may increase our use of new technology such as AI or generative AI to enhance our products, decrease our development times, or improve our customers’ efficiency. Although we maintain AI governance programs and internal oversight committees, the use of AI technologies is still in the early stages and these new technologies may not always operate as expected and deliver our intended results, may produce output that contain errors and incorrect information or other unintended consequences, including cyber security vulnerabilities. Any ineffective AI usage could negatively impact our or our customer’s business reputation and negatively impact our competitive standing.</w:t>
      </w:r>
    </w:p>
    <w:p>
      <w:pPr>
        <w:spacing w:after="0" w:line="183"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Should problems occur in the operation or performance of our products, we may experience delays in meeting key introduction dates or scheduled delivery dates to our customers. These errors could also cause significant re-engineering costs, the diversion of our engineering personnel’s attention from our product development efforts and cause significant customer relations and business reputation problems. Any defects could result in refunds, product replacement, product recall or other liability. Any of the foregoing could impose substantial costs and harm our business.</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Product liability, data breach or cyber liability claims may be asserted with respect to our products. Many of our products focus on wireless connectivity and the IoT market and such connectivity may make these products particularly susceptible to cyber-attacks. Our products are typically sold at prices that are significantly lower than the cost of the end-products into which they are incorporated. A defect, failure or vulnerability in our products, including as a result of AI used in the development of our products, or by our customers in end-products that incorporate our products, could cause failure in our customer’s end-product, so we could face claims for damages that are disproportionately higher than the revenues and profits we receive from the products involved. Furthermore, product liability risks are particularly significant with respect to medical and automotive applications because of the risk of serious harm to users of these end-products. There can be no assurance that any insurance we maintain will sufficiently protect us from such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 require our products to undergo a lengthy and expensive qualification process without any assurance of product sales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Prior to purchasing our products, our customers require that our products undergo an extensive qualification process, which involves testing of the products in the customer’s system as well as rigorous reliability testing. This qualification process may continue for six months or longer. However, qualification of a product by a customer does not ensure any sales of the product to that customer. Even after successful qualification and sales of a product to a customer, a subsequent revision to the product or software, changes in the IC’s manufacturing process or the selection of a new supplier by us may require a new qualification process, which may result in delays and in us holding excess or obsolete inventory. After our products are qualified, it can take an additional six months or more before the customer commences volume production of components or devices that incorporate our products. Despite these uncertainties, we devote substantial resources, including design, engineering, sales, marketing and management efforts, toward qualifying our products with customers in anticipation of sales. If we are unsuccessful or delayed in qualifying any of our products with a customer, such failure or delay would preclude or delay sales of such product to the customer, which may impede our growth and cause our business to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relating to product concentration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derive a substantial portion of our revenues from a limited number of products, and we expect these products to continue to account for a large percentage of our revenues in the near term. Continued market acceptance of these products is critical to our future success. In addition, substantially all of our products that we have sold include technology related to one or more of our issued U.S. patents. If these patents are found to be invalid or unenforceable, our competitors could introduce competitive products that could reduce both the volume and price per unit of our products. Our business, operating results, financial condition and cash flows could therefore be adversely affected by:</w:t>
      </w:r>
    </w:p>
    <w:p>
      <w:pPr>
        <w:spacing w:after="0" w:line="18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demand for any of our more significant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products to achieve continued market acceptance;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technological standards or changes to existing standards that we are unable to address with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release new products or enhanced versions of our existing products on a timely basis;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new products to achieve market acceptance.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dispositions could harm our financial condition</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Any disposition of a business or product line that we have made and may make in the future would entail a number of risks that could materially and adversely affect our business and operating results, including:</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attention from our core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separating the divested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to relations with customers who previously purchased products from our disposed product line;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leverage with suppliers due to reduced aggregate volume;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employee relations;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disposition is not completed on the expected timeline,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transfer and licensing of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do not realize the anticipated benefits from the disposition;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third-party claims arising out of the disposition;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risks and other liabilities related to the transition services provided in connection with the disposition;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associated with dispositions;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Disposition-related disputes, including disputes over earn-outs and escrows.</w:t>
      </w:r>
    </w:p>
    <w:p>
      <w:pPr>
        <w:spacing w:after="0" w:line="203" w:lineRule="exact"/>
        <w:rPr>
          <w:sz w:val="20"/>
          <w:szCs w:val="20"/>
          <w:color w:val="auto"/>
        </w:rPr>
      </w:pPr>
    </w:p>
    <w:p>
      <w:pPr>
        <w:ind w:right="40"/>
        <w:spacing w:after="0" w:line="317" w:lineRule="auto"/>
        <w:rPr>
          <w:sz w:val="20"/>
          <w:szCs w:val="20"/>
          <w:color w:val="auto"/>
        </w:rPr>
      </w:pPr>
      <w:r>
        <w:rPr>
          <w:rFonts w:ascii="Times New Roman" w:cs="Times New Roman" w:eastAsia="Times New Roman" w:hAnsi="Times New Roman"/>
          <w:sz w:val="17"/>
          <w:szCs w:val="17"/>
          <w:b w:val="1"/>
          <w:bCs w:val="1"/>
          <w:color w:val="auto"/>
        </w:rPr>
        <w:t>The semiconductor manufacturing process is highly complex and, from time to time, manufacturing yields may fall below our expectations, which could result in our inability to satisfy demand for our products in a timely manner and may decrease our gross profit due to higher unit costs</w:t>
      </w:r>
    </w:p>
    <w:p>
      <w:pPr>
        <w:spacing w:after="0" w:line="13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manufacturing of our products is a highly complex and technologically demanding process. Although we work closely with our foundries and assemblers to minimize the likelihood of reduced manufacturing yields, we have from time to time experienced lower than anticipated manufacturing yields. Changes in manufacturing processes or the inadvertent use of defective or contaminated materials could result in lower than anticipated manufacturing yields or unacceptable performance deficiencies, which could lower our gross profit. If our foundries fail to deliver fabricated silicon wafers of satisfactory quality in a timely manner, we will be unable to meet our customers’ demand for our products in a timely manner, which would adversely affect our operating results and damage our customer relationships.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our customers to support our products, and some of our customers offer competing products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rely on our customers to provide hardware, software, intellectual property indemnification and other technical support for the products supplied by them. If our customers do not provide the required functionality or satisfactory support for their products, the demand for these devices that incorporate our products may diminish or we may otherwise be materially adversely affected. Any reduction in the demand for these devices would significantly reduce our revenues.</w:t>
      </w:r>
    </w:p>
    <w:p>
      <w:pPr>
        <w:spacing w:after="0" w:line="180"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Additionally, in certain products, some of our customers offer their own competitive products. These customers may find it advantageous to support their own offerings in the marketplace in lieu of promoting or using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privacy and data security/protection laws could have an adverse effect on our operations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or may become subject to a variety of laws and regulations such as the European Union’s General Data Protection Regulation (“GDPR”) regarding privacy, data protection and data security. There are numerous U.S. federal, state, and local laws and regulations and foreign laws and regulations regarding privacy and the collection, sharing, use, processing, disclosure, and protection of personal data. Such laws and regulations often vary in scope, may be subject to differing interpretations, and may be inconsistent among different jurisdictions. The costs of compliance with the GDPR and similar laws may have an adverse effect on our operations. Given that the scope, interpretation and application of these laws and regulations are often uncertain and may be in conflict across jurisdictions, it is possible they may be interpreted and applied in a manner that is inconsistent from one jurisdiction to another and may conflict with other rules or our practices. Any failure or perceived failure by us to comply with our privacy or security policies or privacy-related legal obligations, or any compromise of security that results in the unauthorized release or transfer of personal data, may result in governmental enforcement actions, litigation or negative publicity, and could have an adverse effect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must conform to industry standards and technology in order to be accepted by end users in our markets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Generally, our products comprise only a part of a device. All components of such devices must uniformly comply with industry standards in order to operate efficiently together. We depend on companies that provide other components of the devices to support prevailing industry standards. Many of these companies are significantly larger and more influential in affecting industry standards than we are. Some industry standards may not be widely adopted or implemented uniformly, and competing standards may emerge that may be preferred by our customers or end users. If larger companies do not support the same industry standards that we do, or if competing standards emerge, market acceptance of our products could be adversely affected which would harm our business.</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Products for certain applications are based on industry standards that are continually evolving. Our ability to compete in the future will depend on our ability to identify and ensure compliance with these evolving industry standards. The emergence of new industry standards could render our products incompatible with products developed by other suppliers. As a result, we could be required to invest significant time and effort and to incur significant expense to redesign our products to ensure compliance with relevant standards. If our products are not in compliance with prevailing industry standards for a significant period of time, we could miss opportunities to achieve crucial design wins. For example, the IoT market is relatively new and is continuously evolving. Furthermore, products in the IoT market frequently require interoperability across multiple standards. We may need to adjust our portfolio to meet the needs of this evolving market through acquisitions or significant new investments in research and development.</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pursuit of necessary technological advances may require substantial time and expense. We may not be successful in developing or using new technologies or in developing new products or product enhancements that achieve market acceptance. If our products fail to achieve market acceptance, our growth prospects, operating results and competitive position could be adversely affected.</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We previously identified a material weakness in our internal control over financial reporting. Although we have remediated this material weakness, we may identify additional material weaknesses or other deficiencies in the future or otherwise fail to maintain an effective system of internal controls, including disclosure controls and procedures, and this could result in material misstatements of our financial statements or cause us to fail to meet our reporting obligations</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previously identified a material weakness that existed as of the end of our fiscal 2023 regarding our internal controls over inventory valuation, primarily the undue reliance on forecasted inventory demand which was not subjected to a sufficient level of management review. As a result of this material weakness, management concluded that our disclosure controls and procedures and internal control over financial reporting were not effective as of December 30, 2023. During the quarter ended December 28, 2024, we successfully completed the testing necessary to conclude that the material weakness has been remediated. While the material weakness has been remediated, we continue to seek improvements to enhance our control environment and to strengthen our internal controls to provide reasonable assurance that our financial statements continue to be fairly stated in all material respects.</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Should new material weaknesses arise or be discovered in the future, material misstatements could occur and go undetected in our interim or annual consolidated financial statements. If we fail to remediate any future material weaknesses or maintain proper and effective internal control over financial reporting in the future, we may be required to restate our financial statements, experience delays in satisfying our reporting obligations or fail to comply with SEC rules and regulations, which could result in investigations and sanctions by regulatory authorities. Any of these results could adversely affect our business and the value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Risks</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Significant litigation over intellectual property in our industry may cause us to become involved in costly and lengthy litigation which could adversely affect our business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semiconductor and software industries have experienced significant litigation involving patents and other intellectual property rights. From time to time, third parties, including non-practicing entities, allege intellectual property infringement by our products, our customers’ products, or products using technologies or communications standards used in our industry. We also receive communications from customers or suppliers requesting indemnification for allegations brought against them by third parties. Some of these allegations have resulted, and may result in the future, in our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involvement in litigation. We have certain contractual obligations to defend and indemnify our customers from certain infringement claims. We also have been involved in litigation to protect our intellectual property rights in the past and may become involved in such litigation again in the future.</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Given the unpredictable nature of litigation and the complexity of the technology, we may not prevail in any such litigation. Legal proceedings could subject us to significant liability, invalidate our proprietary rights, or harm our businesses and our ability to compete. Legal proceedings initiated by us to protect our intellectual property rights could also result in counterclaims or countersuits against us. Any litigation, regardless of its outcome or merit, could be time-consuming and expensive to resolve and could divert our management’s time and attention. Intellectual property litigation also could force us to take specific actions, including:</w:t>
      </w:r>
    </w:p>
    <w:p>
      <w:pPr>
        <w:spacing w:after="0" w:line="18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selling or manufacturing certain products, services or processes;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which license may require the payment of substantial royalties or may not be available on reasonable terms or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costs, time delays and lost business opportunities to develop alternative technologies or redesign products;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legal remedies with third parties to enforce our indemnification rights, which may not adequately protect our interests.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protect our intellectual property, which would negatively affect our ability to compete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products rely on our proprietary technology, and we expect that future technological advances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intellectual property providers and business partners, and control access to and distribution of our documentation and other proprietary information. Despite these efforts, unauthorized parties may attempt to copy or otherwise obtain and use our proprietary technology. Monitoring unauthorized use of our technology is difficult, and we cannot be certain that the steps we have taken will prevent unauthorized use of our technology, particularly in foreign countries where the laws may not protect our proprietary rights as fully as in the United States. We cannot be certain that patents will be issued as a result of our pending applications nor can we be certain that any issued patents would protect or benefit us or give us adequate protection from competing products. For example, issued patents may be circumvented or challenged and declared invalid or unenforceable. We also cannot be certain that others will not develop effective competing technologies on their own.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incorporate technology licensed from third parties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incorporate technology (including software) licensed from third parties in our products. We could be subjected to claims of infringement regardless of our lack of involvement in the development of the licensed technology. Although a third-party licensor is typically obligated to indemnify us if the licensed technology infringes on another party’s intellectual property rights, such indemnification is typically limited in amount and may be worthless if the licensor becomes insolvent. See </w:t>
      </w:r>
      <w:r>
        <w:rPr>
          <w:rFonts w:ascii="Times New Roman" w:cs="Times New Roman" w:eastAsia="Times New Roman" w:hAnsi="Times New Roman"/>
          <w:sz w:val="18"/>
          <w:szCs w:val="18"/>
          <w:i w:val="1"/>
          <w:iCs w:val="1"/>
          <w:color w:val="auto"/>
        </w:rPr>
        <w:t>Significant litigation over intellectual property in our industry may cause us to become involved in costly and lengthy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litigation which could seriously harm our business. </w:t>
      </w:r>
      <w:r>
        <w:rPr>
          <w:rFonts w:ascii="Times New Roman" w:cs="Times New Roman" w:eastAsia="Times New Roman" w:hAnsi="Times New Roman"/>
          <w:sz w:val="18"/>
          <w:szCs w:val="18"/>
          <w:color w:val="auto"/>
        </w:rPr>
        <w:t>Furthermore, any failure of third-party technology to perform properly would adversely affect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products incorporating such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Credit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in the financial services industry could adversely affect our operations and financial condition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the first half of 2023, banking regulators closed three U.S. banks and appointed the Federal Deposit Insurance Corporation (“FDIC”) to act as receiver. Although we had no direct exposure to the closed banks, any uncertainty over the broader financial services industry could result in adverse impact. For example, if other financial institutions enter receivership or become insolvent in the future, our ability to access our cash and investments or to draw on our existing lines of credit could be impacted. Concerns regarding the financial services industry may result in less favorable financing terms, including higher interest rates, tighter financial covenants or systemic limitations on access to credit sources, thereby making it more difficult for us to acquire financing on acceptable terms or at all. In addition, inflation and rapid increases in interest rates have led to a decline in the market value of debt securities issued with interest rates below current market interest rates. Sales of such securities prior to their maturity would result in the recognition of losses previously unrealized.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credit risks related to our accounts receivable</w:t>
      </w:r>
    </w:p>
    <w:p>
      <w:pPr>
        <w:spacing w:after="0" w:line="229"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We do not generally obtain letters of credit or other security for payment from customers, distributors or contract manufacturers. Accordingly, we are not protected against accounts receivable default or bankruptcy by these entities. Our ten largest customers or distributors represent a substantial majority of our accounts receivable. If any such customer or distributor, or a material portion of our smaller customers or distributors, were to become insolvent or otherwise not satisfy their obligations to us, we could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borrowings under our credit agreement or other indebtedness could adversely affect our operations and financial condition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make the required payments when due on any debt we may incur depends upon our future performance, which will be subject to general economic conditions, industry cycles and other factors affecting our operations, including risk factors described herein, many of which are beyond our control. Our credit facility also contains covenants, including financial covenants. In May 2024, we received a waiver of the requirement that we meet an interest coverage test for each fiscal quarter through the fiscal first quarter of 2025 and in February 2025 received a waiver through the third quarter of 2025. We did not have any outstanding indebtedness under the credit facility at the time the waiver was granted, and the waiver allowed us to borrow under the facility without compliance with that specific financial covenant, although we have not borrowed under the facility while the waiver has been in effect. If we are unable to satisfy or otherwise obtain waivers of the covenants under our credit facility, we may be prohibited from borrowing thereunder. Further, if we breach any of the covenants under our credit facility and do not obtain appropriate waivers, then, subject to any applicable cure periods, any outstanding indebtedness thereunder could be declared immediately due and payable.</w:t>
      </w:r>
    </w:p>
    <w:p>
      <w:pPr>
        <w:spacing w:after="0" w:line="18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could seek to raise additional debt or equity capital in the future, but additional capital may not be available on terms acceptable to us, or at all</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cash equivalents, investments, and credit under our credit facility will be sufficient to meet our working capital needs, capital expenditures, investment requirements and commitments for at least the next 12 months. However, our ability to borrow further under the credit facility is dependent upon our ability to satisfy various conditions, covenants and representations. It is possible that we may need to raise additional funds to finance our activities or to facilitate acquisitions of other businesses, products, intellectual property or technologies. We believe we could raise these funds, if needed, by selling equity or debt securities to the public or to selected investors. In addition, even though we may not need additional funds, we may still elect to sell additional equity or debt securities or obtain credit facilities for other reasons. However, we may not be able to obtain additional funds on favorable terms, or at all, particularly during periods of financial market instability. If we decide to raise additional funds by issuing equity or convertible debt securities, the ownership percentages of existing shareholders would be reduced.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and Governance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volatile in the past and may be volatile in the future. The market price of our common stock may be significantly affected by the following factors:</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or our failure to perform in line with such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technology companies, particularly semiconductor companies;</w:t>
      </w:r>
    </w:p>
    <w:p>
      <w:pPr>
        <w:spacing w:after="0" w:line="9"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or capital commitments;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technologies or product enhancements that reduce the need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decrease in sales to, one or more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sale of stock by a significant shareholder;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from the issuance of our stock in connection with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removal of our stock to or from a stock index fund;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207"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stock market has experienced extreme volatility that often has been unrelated to the performance of particular companies. These market fluctuations may cause our stock price to fall regardless of our performance.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charter documents and Delaware law could prevent, delay or impede a change in control of us and may reduce the market price of our common stock</w:t>
      </w:r>
    </w:p>
    <w:p>
      <w:pPr>
        <w:spacing w:after="0" w:line="15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have the effect of discouraging, delaying or preventing a merger or acquisition that a stockholder may consider favorable. For example, our certificate of incorporation and bylaws provide for:</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 to be elected on a staggered basis, one class each 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our preferred stock in one or more series without further authorization of our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the right of stockholders to call a special meeting of stockholders;</w:t>
      </w:r>
    </w:p>
    <w:p>
      <w:pPr>
        <w:spacing w:after="0" w:line="9"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stockholders provide advance notice of any stockholder nominations of directors or any proposal of new business to be considered at any meeting of stockholders; and</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supermajority vote be obtained to amend or repeal certain provisions of our certificate of incorporation.</w:t>
      </w:r>
    </w:p>
    <w:p>
      <w:pPr>
        <w:spacing w:after="0" w:line="20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also are subject to the anti-takeover laws of Delaware which may discourage, delay or prevent someone from acquiring or merging with us, which may adversely affect the market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repurchases of our common stock during the three months ended April 5,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purchase or sale of our securities by our directors and officers (as defined under Rule 16b-1(f) of the Exchange Act) intended to satisfy the affirmative defense conditions of Rule 10b5-1(c), entered into during the quarter ended April 5, 2025. There were no non-Rule 10b5-1 trading arrangements entered into or terminated during the quarter ended April 5,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w:t>
            </w:r>
          </w:p>
        </w:tc>
      </w:tr>
      <w:tr>
        <w:trPr>
          <w:trHeight w:val="162"/>
        </w:trPr>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Purchased or</w:t>
            </w:r>
          </w:p>
        </w:tc>
      </w:tr>
      <w:tr>
        <w:trPr>
          <w:trHeight w:val="162"/>
        </w:trPr>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 of Adoption of</w:t>
            </w: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Sold Pursuant to the</w:t>
            </w:r>
          </w:p>
        </w:tc>
      </w:tr>
      <w:tr>
        <w:trPr>
          <w:trHeight w:val="20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Title of Director or Officer</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2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Duration of the Arrangement</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r>
      <w:tr>
        <w:trPr>
          <w:trHeight w:val="23"/>
        </w:trPr>
        <w:tc>
          <w:tcPr>
            <w:tcW w:w="4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3"/>
        </w:trPr>
        <w:tc>
          <w:tcPr>
            <w:tcW w:w="48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Bob Conrad</w:t>
            </w:r>
          </w:p>
        </w:tc>
        <w:tc>
          <w:tcPr>
            <w:tcW w:w="192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w w:val="99"/>
              </w:rPr>
              <w:t>February 12, 2025</w:t>
            </w:r>
          </w:p>
        </w:tc>
        <w:tc>
          <w:tcPr>
            <w:tcW w:w="2520" w:type="dxa"/>
            <w:vAlign w:val="bottom"/>
            <w:gridSpan w:val="2"/>
            <w:shd w:val="clear" w:color="auto" w:fill="CCEEFF"/>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w w:val="98"/>
              </w:rPr>
              <w:t>Expires August 1, 2025</w:t>
            </w:r>
          </w:p>
        </w:tc>
        <w:tc>
          <w:tcPr>
            <w:tcW w:w="19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6,496</w:t>
            </w:r>
          </w:p>
        </w:tc>
      </w:tr>
      <w:tr>
        <w:trPr>
          <w:trHeight w:val="25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Senior VP, Worldwide Operations</w:t>
            </w: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16"/>
        </w:trPr>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Christy Wyatt</w:t>
            </w:r>
          </w:p>
        </w:tc>
        <w:tc>
          <w:tcPr>
            <w:tcW w:w="1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February 5, 2025</w:t>
            </w:r>
          </w:p>
        </w:tc>
        <w:tc>
          <w:tcPr>
            <w:tcW w:w="2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Expires May 30, 2025</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1,475</w:t>
            </w:r>
          </w:p>
        </w:tc>
      </w:tr>
      <w:tr>
        <w:trPr>
          <w:trHeight w:val="25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904"/>
        </w:trPr>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jc w:val="right"/>
              <w:ind w:right="897"/>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0"/>
          </w:tcPr>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tc>
        <w:tc>
          <w:tcPr>
            <w:tcW w:w="0" w:type="dxa"/>
            <w:vAlign w:val="bottom"/>
          </w:tcPr>
          <w:p>
            <w:pPr>
              <w:spacing w:after="0"/>
              <w:rPr>
                <w:sz w:val="1"/>
                <w:szCs w:val="1"/>
                <w:color w:val="auto"/>
              </w:rPr>
            </w:pPr>
          </w:p>
        </w:tc>
      </w:tr>
      <w:tr>
        <w:trPr>
          <w:trHeight w:val="391"/>
        </w:trPr>
        <w:tc>
          <w:tcPr>
            <w:tcW w:w="1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Exhibit</w:t>
            </w:r>
          </w:p>
        </w:tc>
        <w:tc>
          <w:tcPr>
            <w:tcW w:w="1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Number</w:t>
            </w:r>
          </w:p>
        </w:tc>
        <w:tc>
          <w:tcPr>
            <w:tcW w:w="1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40" w:type="dxa"/>
            <w:vAlign w:val="bottom"/>
            <w:gridSpan w:val="7"/>
            <w:vMerge w:val="restart"/>
          </w:tcPr>
          <w:p>
            <w:pPr>
              <w:spacing w:after="0"/>
              <w:rPr>
                <w:rFonts w:ascii="Times New Roman" w:cs="Times New Roman" w:eastAsia="Times New Roman" w:hAnsi="Times New Roman"/>
                <w:sz w:val="16"/>
                <w:szCs w:val="16"/>
                <w:color w:val="0000EE"/>
              </w:rPr>
            </w:pPr>
            <w:hyperlink r:id="rId53">
              <w:r>
                <w:rPr>
                  <w:rFonts w:ascii="Times New Roman" w:cs="Times New Roman" w:eastAsia="Times New Roman" w:hAnsi="Times New Roman"/>
                  <w:sz w:val="16"/>
                  <w:szCs w:val="16"/>
                  <w:color w:val="0000EE"/>
                </w:rPr>
                <w:t>Form of Fourth Amended and Restated Certificate of Incorporation of Silicon Laboratories Inc. (filed as Exhibit 3.1 to the Registration Statement on</w:t>
              </w:r>
            </w:hyperlink>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36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4"/>
                <w:szCs w:val="14"/>
                <w:color w:val="auto"/>
              </w:rPr>
            </w:pPr>
          </w:p>
        </w:tc>
        <w:tc>
          <w:tcPr>
            <w:tcW w:w="9640" w:type="dxa"/>
            <w:vAlign w:val="bottom"/>
            <w:tcBorders>
              <w:bottom w:val="single" w:sz="8" w:color="0000EE"/>
            </w:tcBorders>
            <w:gridSpan w:val="7"/>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40" w:type="dxa"/>
            <w:vAlign w:val="bottom"/>
            <w:gridSpan w:val="8"/>
          </w:tcPr>
          <w:p>
            <w:pPr>
              <w:spacing w:after="0" w:line="183" w:lineRule="exact"/>
              <w:rPr>
                <w:rFonts w:ascii="Times New Roman" w:cs="Times New Roman" w:eastAsia="Times New Roman" w:hAnsi="Times New Roman"/>
                <w:sz w:val="16"/>
                <w:szCs w:val="16"/>
                <w:color w:val="0000EE"/>
              </w:rPr>
            </w:pPr>
            <w:hyperlink r:id="rId53">
              <w:r>
                <w:rPr>
                  <w:rFonts w:ascii="Times New Roman" w:cs="Times New Roman" w:eastAsia="Times New Roman" w:hAnsi="Times New Roman"/>
                  <w:sz w:val="16"/>
                  <w:szCs w:val="16"/>
                  <w:color w:val="0000EE"/>
                </w:rPr>
                <w:t>Form S-1 (Securities and Exchange Commission File No. 333-94853) (the “IPO Registration Statement”)).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4"/>
                <w:szCs w:val="24"/>
                <w:color w:val="auto"/>
              </w:rPr>
            </w:pPr>
          </w:p>
        </w:tc>
        <w:tc>
          <w:tcPr>
            <w:tcW w:w="9740" w:type="dxa"/>
            <w:vAlign w:val="bottom"/>
            <w:gridSpan w:val="8"/>
          </w:tcPr>
          <w:p>
            <w:pPr>
              <w:spacing w:after="0"/>
              <w:rPr>
                <w:rFonts w:ascii="Times New Roman" w:cs="Times New Roman" w:eastAsia="Times New Roman" w:hAnsi="Times New Roman"/>
                <w:sz w:val="16"/>
                <w:szCs w:val="16"/>
                <w:color w:val="0000EE"/>
              </w:rPr>
            </w:pPr>
            <w:hyperlink r:id="rId54">
              <w:r>
                <w:rPr>
                  <w:rFonts w:ascii="Times New Roman" w:cs="Times New Roman" w:eastAsia="Times New Roman" w:hAnsi="Times New Roman"/>
                  <w:sz w:val="16"/>
                  <w:szCs w:val="16"/>
                  <w:color w:val="0000EE"/>
                </w:rPr>
                <w:t>Sixth Amended and Restated Bylaws of Silicon Laboratories Inc. (filed as Exhibit 3.1 to the Form 8-K filed on April 21, 2023).</w:t>
              </w:r>
            </w:hyperlink>
          </w:p>
        </w:tc>
        <w:tc>
          <w:tcPr>
            <w:tcW w:w="0" w:type="dxa"/>
            <w:vAlign w:val="bottom"/>
          </w:tcPr>
          <w:p>
            <w:pPr>
              <w:spacing w:after="0"/>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4"/>
                <w:szCs w:val="24"/>
                <w:color w:val="auto"/>
              </w:rPr>
            </w:pPr>
          </w:p>
        </w:tc>
        <w:tc>
          <w:tcPr>
            <w:tcW w:w="8260" w:type="dxa"/>
            <w:vAlign w:val="bottom"/>
            <w:tcBorders>
              <w:top w:val="single" w:sz="8" w:color="0000EE"/>
            </w:tcBorders>
            <w:gridSpan w:val="6"/>
          </w:tcPr>
          <w:p>
            <w:pPr>
              <w:spacing w:after="0"/>
              <w:rPr>
                <w:rFonts w:ascii="Times New Roman" w:cs="Times New Roman" w:eastAsia="Times New Roman" w:hAnsi="Times New Roman"/>
                <w:sz w:val="16"/>
                <w:szCs w:val="16"/>
                <w:color w:val="0000EE"/>
              </w:rPr>
            </w:pPr>
            <w:hyperlink r:id="rId55">
              <w:r>
                <w:rPr>
                  <w:rFonts w:ascii="Times New Roman" w:cs="Times New Roman" w:eastAsia="Times New Roman" w:hAnsi="Times New Roman"/>
                  <w:sz w:val="16"/>
                  <w:szCs w:val="16"/>
                  <w:color w:val="0000EE"/>
                </w:rPr>
                <w:t>Specimen certificate for shares of common stock (filed as Exhibit 4.1 to the IPO Registration Statement).</w:t>
              </w:r>
            </w:hyperlink>
          </w:p>
        </w:tc>
        <w:tc>
          <w:tcPr>
            <w:tcW w:w="14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Certification of the Principal Executive Officer, as required by Section 302 of the Sarbanes-Oxley Act of 2002.</w:t>
            </w:r>
          </w:p>
        </w:tc>
        <w:tc>
          <w:tcPr>
            <w:tcW w:w="0" w:type="dxa"/>
            <w:vAlign w:val="bottom"/>
          </w:tcPr>
          <w:p>
            <w:pPr>
              <w:spacing w:after="0"/>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4"/>
                <w:szCs w:val="24"/>
                <w:color w:val="auto"/>
              </w:rPr>
            </w:pPr>
          </w:p>
        </w:tc>
        <w:tc>
          <w:tcPr>
            <w:tcW w:w="71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Certification of the Principal Financial Officer, as required by Section 302 of the Sarbanes-Oxley Act of 2002.</w:t>
            </w:r>
          </w:p>
        </w:tc>
        <w:tc>
          <w:tcPr>
            <w:tcW w:w="2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4"/>
                <w:szCs w:val="24"/>
                <w:color w:val="auto"/>
              </w:rPr>
            </w:pPr>
          </w:p>
        </w:tc>
        <w:tc>
          <w:tcPr>
            <w:tcW w:w="71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Certification as required by Section 906 of the Sarbanes-Oxley Act of 2002.</w:t>
            </w:r>
          </w:p>
        </w:tc>
        <w:tc>
          <w:tcPr>
            <w:tcW w:w="2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2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1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1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1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1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05"/>
        </w:trPr>
        <w:tc>
          <w:tcPr>
            <w:tcW w:w="1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50"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herein by reference to the indicated filing.</w:t>
      </w:r>
    </w:p>
    <w:p>
      <w:pPr>
        <w:spacing w:after="0" w:line="36"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20" w:type="dxa"/>
            <w:vAlign w:val="bottom"/>
          </w:tcPr>
          <w:p>
            <w:pPr>
              <w:jc w:val="right"/>
              <w:ind w:right="4310"/>
              <w:spacing w:after="0"/>
              <w:rPr>
                <w:sz w:val="20"/>
                <w:szCs w:val="20"/>
                <w:color w:val="auto"/>
              </w:rPr>
            </w:pPr>
            <w:r>
              <w:rPr>
                <w:rFonts w:ascii="Times New Roman" w:cs="Times New Roman" w:eastAsia="Times New Roman" w:hAnsi="Times New Roman"/>
                <w:sz w:val="18"/>
                <w:szCs w:val="18"/>
                <w:color w:val="auto"/>
                <w:w w:val="98"/>
              </w:rPr>
              <w:t>SILICON LABORATORIES INC.</w:t>
            </w:r>
          </w:p>
        </w:tc>
      </w:tr>
      <w:tr>
        <w:trPr>
          <w:trHeight w:val="688"/>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May 13, 2025</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 Matthew Johnson</w:t>
            </w:r>
          </w:p>
        </w:tc>
      </w:tr>
      <w:tr>
        <w:trPr>
          <w:trHeight w:val="175"/>
        </w:trPr>
        <w:tc>
          <w:tcPr>
            <w:tcW w:w="4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920" w:type="dxa"/>
            <w:vAlign w:val="bottom"/>
            <w:tcBorders>
              <w:bottom w:val="single" w:sz="8" w:color="auto"/>
            </w:tcBorders>
          </w:tcPr>
          <w:p>
            <w:pPr>
              <w:spacing w:after="0"/>
              <w:rPr>
                <w:sz w:val="15"/>
                <w:szCs w:val="15"/>
                <w:color w:val="auto"/>
              </w:rPr>
            </w:pPr>
          </w:p>
        </w:tc>
      </w:tr>
      <w:tr>
        <w:trPr>
          <w:trHeight w:val="385"/>
        </w:trPr>
        <w:tc>
          <w:tcPr>
            <w:tcW w:w="4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Date</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 Matthew Johnson</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688"/>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May 13, 2025</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Dean Butler</w:t>
            </w:r>
          </w:p>
        </w:tc>
      </w:tr>
      <w:tr>
        <w:trPr>
          <w:trHeight w:val="175"/>
        </w:trPr>
        <w:tc>
          <w:tcPr>
            <w:tcW w:w="4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920" w:type="dxa"/>
            <w:vAlign w:val="bottom"/>
            <w:tcBorders>
              <w:bottom w:val="single" w:sz="8" w:color="auto"/>
            </w:tcBorders>
          </w:tcPr>
          <w:p>
            <w:pPr>
              <w:spacing w:after="0"/>
              <w:rPr>
                <w:sz w:val="15"/>
                <w:szCs w:val="15"/>
                <w:color w:val="auto"/>
              </w:rPr>
            </w:pPr>
          </w:p>
        </w:tc>
      </w:tr>
      <w:tr>
        <w:trPr>
          <w:trHeight w:val="385"/>
        </w:trPr>
        <w:tc>
          <w:tcPr>
            <w:tcW w:w="4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Date</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Dean Butler</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Vice President and</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688"/>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May 13, 2025</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Mark D. Mauldin</w:t>
            </w:r>
          </w:p>
        </w:tc>
      </w:tr>
      <w:tr>
        <w:trPr>
          <w:trHeight w:val="175"/>
        </w:trPr>
        <w:tc>
          <w:tcPr>
            <w:tcW w:w="4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920" w:type="dxa"/>
            <w:vAlign w:val="bottom"/>
            <w:tcBorders>
              <w:bottom w:val="single" w:sz="8" w:color="auto"/>
            </w:tcBorders>
          </w:tcPr>
          <w:p>
            <w:pPr>
              <w:spacing w:after="0"/>
              <w:rPr>
                <w:sz w:val="15"/>
                <w:szCs w:val="15"/>
                <w:color w:val="auto"/>
              </w:rPr>
            </w:pPr>
          </w:p>
        </w:tc>
      </w:tr>
      <w:tr>
        <w:trPr>
          <w:trHeight w:val="385"/>
        </w:trPr>
        <w:tc>
          <w:tcPr>
            <w:tcW w:w="4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Date</w:t>
            </w: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 D. Mauldin</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Accounting Officer</w:t>
            </w:r>
          </w:p>
        </w:tc>
      </w:tr>
      <w:tr>
        <w:trPr>
          <w:trHeight w:val="257"/>
        </w:trPr>
        <w:tc>
          <w:tcPr>
            <w:tcW w:w="4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918"/>
        </w:trPr>
        <w:tc>
          <w:tcPr>
            <w:tcW w:w="4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2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40</w:t>
            </w:r>
          </w:p>
        </w:tc>
      </w:tr>
    </w:tbl>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to the Securities and Exchange Commission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Registrant’s Chief Executive Officer, as required by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Matthew Johnson, certify that:</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Silicon Laboratories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220" w:right="200" w:hanging="321"/>
        <w:spacing w:after="0" w:line="266" w:lineRule="auto"/>
        <w:tabs>
          <w:tab w:leader="none" w:pos="121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220" w:right="120" w:hanging="321"/>
        <w:spacing w:after="0" w:line="266" w:lineRule="auto"/>
        <w:tabs>
          <w:tab w:leader="none" w:pos="120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220" w:right="300" w:hanging="321"/>
        <w:spacing w:after="0" w:line="312" w:lineRule="auto"/>
        <w:tabs>
          <w:tab w:leader="none" w:pos="1211"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220" w:right="300" w:hanging="321"/>
        <w:spacing w:after="0" w:line="266" w:lineRule="auto"/>
        <w:tabs>
          <w:tab w:leader="none" w:pos="120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220" w:right="540" w:hanging="321"/>
        <w:spacing w:after="0" w:line="282" w:lineRule="auto"/>
        <w:tabs>
          <w:tab w:leader="none" w:pos="121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220" w:right="240" w:hanging="321"/>
        <w:spacing w:after="0" w:line="282" w:lineRule="auto"/>
        <w:tabs>
          <w:tab w:leader="none" w:pos="120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 Matthew Johnson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4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to the Securities and Exchange Commission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Registrant’s Chief Financial Officer, as required by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Dean Butler, certify that:</w:t>
      </w:r>
    </w:p>
    <w:p>
      <w:pPr>
        <w:spacing w:after="0" w:line="17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Silicon Laboratories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220" w:right="200" w:hanging="321"/>
        <w:spacing w:after="0" w:line="266" w:lineRule="auto"/>
        <w:tabs>
          <w:tab w:leader="none" w:pos="12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220" w:right="120" w:hanging="321"/>
        <w:spacing w:after="0" w:line="266" w:lineRule="auto"/>
        <w:tabs>
          <w:tab w:leader="none" w:pos="120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220" w:right="300" w:hanging="321"/>
        <w:spacing w:after="0" w:line="312" w:lineRule="auto"/>
        <w:tabs>
          <w:tab w:leader="none" w:pos="121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220" w:right="300" w:hanging="321"/>
        <w:spacing w:after="0" w:line="266" w:lineRule="auto"/>
        <w:tabs>
          <w:tab w:leader="none" w:pos="120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220" w:right="540" w:hanging="321"/>
        <w:spacing w:after="0" w:line="282" w:lineRule="auto"/>
        <w:tabs>
          <w:tab w:leader="none" w:pos="12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220" w:right="240" w:hanging="321"/>
        <w:spacing w:after="0" w:line="282" w:lineRule="auto"/>
        <w:tabs>
          <w:tab w:leader="none" w:pos="120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26035</wp:posOffset>
            </wp:positionV>
            <wp:extent cx="43376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2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Dean Butler</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4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and Chief Financial Officer</w:t>
      </w:r>
    </w:p>
    <w:p>
      <w:pPr>
        <w:spacing w:after="0" w:line="22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Pursuant to 18 U.S.C. § 1350, as adopted pursuant to Section 906 of the Sarbanes-Oxley Act of 2002, each of the undersigned officers of Silicon Laboratories Inc. (the “Company”) hereby certifies that:</w:t>
      </w:r>
    </w:p>
    <w:p>
      <w:pPr>
        <w:spacing w:after="0" w:line="162" w:lineRule="exact"/>
        <w:rPr>
          <w:sz w:val="20"/>
          <w:szCs w:val="20"/>
          <w:color w:val="auto"/>
        </w:rPr>
      </w:pPr>
    </w:p>
    <w:p>
      <w:pPr>
        <w:jc w:val="both"/>
        <w:ind w:firstLine="332"/>
        <w:spacing w:after="0" w:line="266" w:lineRule="auto"/>
        <w:tabs>
          <w:tab w:leader="none" w:pos="6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fiscal quarter ended April 5, 2025 as filed with the Securities and Exchange Commission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right="220" w:firstLine="332"/>
        <w:spacing w:after="0" w:line="532" w:lineRule="auto"/>
        <w:tabs>
          <w:tab w:leader="none" w:pos="6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13, 2025</w:t>
      </w: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R.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35572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 Matthew Johnson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President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3557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Dean Butler</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3"/>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1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lvl w:ilvl="1">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53" Type="http://schemas.openxmlformats.org/officeDocument/2006/relationships/hyperlink" Target="https://www.sec.gov/Archives/edgar/data/1038074/0000912057-00-001536-index.html" TargetMode="External"/><Relationship Id="rId54" Type="http://schemas.openxmlformats.org/officeDocument/2006/relationships/hyperlink" Target="https://www.sec.gov/Archives/edgar/data/1038074/000110465923048435/tm2313328d2_ex3-1.htm" TargetMode="External"/><Relationship Id="rId55" Type="http://schemas.openxmlformats.org/officeDocument/2006/relationships/hyperlink" Target="https://www.sec.gov/Archives/edgar/data/1038074/0000912057-00-012321-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2025-05-13T08:14:25Z</dcterms:created>
  <dcterms:modified xsi:type="dcterms:W3CDTF">2025-05-13T08:14:25Z</dcterms:modified>
</cp:coreProperties>
</file>